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5240"/>
        <w:spacing w:after="0"/>
        <w:rPr>
          <w:sz w:val="20"/>
          <w:szCs w:val="20"/>
          <w:color w:val="auto"/>
        </w:rPr>
      </w:pPr>
      <w:r>
        <w:rPr>
          <w:rFonts w:ascii="Arial" w:cs="Arial" w:eastAsia="Arial" w:hAnsi="Arial"/>
          <w:sz w:val="18"/>
          <w:szCs w:val="18"/>
          <w:color w:val="auto"/>
        </w:rPr>
        <w:t>FILING PURSUANT TO RULE 425</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FILER: FIDELITY NATIONAL INFORMATION SERVICES, INC.</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SUBJECT COMPANY: FIDELITY NATIONAL FINANCIAL, INC.</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FIDELITY NATIONAL INFORMATION SERVICES, INC.</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COMMISSION FILE NO. 1-09396</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1-16427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74295</wp:posOffset>
            </wp:positionV>
            <wp:extent cx="579755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9755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Fidelity National Financial, Inc. and Fidelity National Information Services, Inc. Announce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Signing of a Merger Agreement</w:t>
      </w:r>
    </w:p>
    <w:p>
      <w:pPr>
        <w:spacing w:after="0" w:line="10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Jacksonville, Fla. — (June 26, 2006) — Fidelity National Financial, Inc. (NYSE:FNF) and Fidelity National Information Services, Inc. (NYSE:FIS) today announced that they have signed an Agreement and Plan of Merger (“Merger Agreement”) under which FNF will be merged with and into FIS. Upon the consummation of the merger, FNF’s separate corporate existence will cease and FIS will continue as the surviving corporation. Closing of the merger is expected early in the fourth quarter of 2006.</w:t>
      </w:r>
    </w:p>
    <w:p>
      <w:pPr>
        <w:spacing w:after="0" w:line="7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previously announced merger will be consummated immediately after the closing under the Securities Exchange and Distribution Agreement entered into today by FNF and Fidelity National Title Group, Inc. (NYSE:FNT), which contemplates the contribution of substantially all of FNF’s assets and liabilities, other than its ownership interest in FIS, to FNT in exchange for shares of FNT’s Class A Common Stock. Immediately following that transaction, FNF will convert its Class B Common Stock of FNT into shares of FNT Class A Common Stock and then distribute all of the shares of FNT Class A Common Stock it holds as a dividend to FNF stockholders. This spin-off dividend is subject to, among other things, receipt of an IRS private letter ruling with respect to the tax-free treatment for both FNF and its stockholders. These transactions will leave FNF with an approximately 51% ownership position in FIS as its only asset prior to the merger with FIS.</w:t>
      </w:r>
    </w:p>
    <w:p>
      <w:pPr>
        <w:spacing w:after="0" w:line="8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Under the terms of the Merger Agreement, each share of FNF common stock issued and outstanding immediately prior to the merger will be converted into the right to receive that number of shares of FIS common stock equal to the 96,214,500 shares of FIS that FNF currently owns divided by the aggregate number of shares of FNF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immediately prior to the merger (“Conversion Number”). There is no premium or discount associated with the Conversion Number.</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 connection with the proposed transaction, William P. Foley, II will become Executive Chairman of FIS, Alan L. Stinson will become its Executive Vice President of Finance and Brent B. Bickett will become Executive Vice President — Strategic Planning. Approximately 2.8 million options to purchase FNF common stock that are held by persons who will become FIS employees will be replaced at their intrinsic value by FIS options having the same terms and vesting provisions.</w:t>
      </w:r>
    </w:p>
    <w:p>
      <w:pPr>
        <w:spacing w:after="0" w:line="79"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Boards of Directors of FNF and FIS each approved the transaction contemplated by the Merger Agreement after receiving the recommendation of a special committee of independent members of their respective boards.</w:t>
      </w:r>
    </w:p>
    <w:p>
      <w:pPr>
        <w:spacing w:after="0" w:line="62"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merger of FNF and FIS will require FNF shareholder approval and the issuance of FIS stock in connection with the merger and certain other items related to the transaction will require FIS shareholder approval. Accordingly, as soon as practicable, both FNF and FIS will prepare and file with the Securities and Exchange Commission (“SEC”) a Proxy/Information Statement relating to required shareholder approvals and will prepare and file a Registration Statement on Form S-4, with the Proxy/Information Statement included as a prospectus, relating to the issuance of FIS stock in the merger. Once the Proxy/Information Statement is cleared and the FIS Form S-4 is declared effective by the SEC, FNF and FIS will schedule shareholder votes and mail the Proxy/Information Statement to their shareholders.</w:t>
      </w:r>
    </w:p>
    <w:p>
      <w:pPr>
        <w:spacing w:after="0" w:line="8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Completion of the transaction will be subject to a number of conditions, including: approval of the shareholders of each of FNF, FNT (as to its issuance of shares to FNF) and FIS; the receipt of a private letter ruling from the Internal Revenue Service and opinions from FNF’s and FIS’ tax advisors; the clearance of proxy statements by the SEC and effectiveness of registration statements; the receipt of all necessary regulatory approvals for the merger; the receipt of any necessary approvals under credit agreements of FNF, FNT and FIS and any other material agreements; the occurrence of the spin-off dividend in accordance with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ind w:right="660"/>
        <w:spacing w:after="0" w:line="277" w:lineRule="auto"/>
        <w:rPr>
          <w:sz w:val="20"/>
          <w:szCs w:val="20"/>
          <w:color w:val="auto"/>
        </w:rPr>
      </w:pPr>
      <w:r>
        <w:rPr>
          <w:rFonts w:ascii="Arial" w:cs="Arial" w:eastAsia="Arial" w:hAnsi="Arial"/>
          <w:sz w:val="18"/>
          <w:szCs w:val="18"/>
          <w:color w:val="auto"/>
        </w:rPr>
        <w:t>Exchange and Distribution Agreement; and the other conditions set forth in the Merger Agreement. There can be no assurance that any or all of these conditions will be satisfied or that the transactions will be completed.</w:t>
      </w:r>
    </w:p>
    <w:p>
      <w:pPr>
        <w:spacing w:after="0" w:line="6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Fidelity National Financial, Inc. (NYSE:FNF), number 248 on the Fortune 500, is a provider of outsourced products and services to a variety of industries. Through its majority-owned, publicly-traded subsidiary, Fidelity National Title Group, Inc. (NYSE:FNT), FNF is one of the nation’s largest title insurance companies, with nearly 29 percent national market share. Through its majority-owned, publicly-traded subsidiary, Fidelity National Information Services, Inc. (NYSE:FIS), FNF provides an industry leading suite of data processing, payment and risk management services to financial institutions and retailers. Through its wholly-owned subsidiaries, FNF is also a leading provider of specialty insurance products, including flood insurance, homeowners insurance and home warranty insurance. Through its minority-owned subsidiary, Sedgwick CMS, FNF is a leading provider of outsourced insurance claims management services to large corporate and public sector entities. More information about the FNF family of companies can be found at </w:t>
      </w:r>
      <w:r>
        <w:rPr>
          <w:rFonts w:ascii="Arial" w:cs="Arial" w:eastAsia="Arial" w:hAnsi="Arial"/>
          <w:sz w:val="17"/>
          <w:szCs w:val="17"/>
          <w:u w:val="single" w:color="auto"/>
          <w:color w:val="auto"/>
        </w:rPr>
        <w:t>www.fnf.com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www.fntg.com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www.fidelityinfoservices.com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www.sedgwickcms.com</w:t>
      </w:r>
      <w:r>
        <w:rPr>
          <w:rFonts w:ascii="Arial" w:cs="Arial" w:eastAsia="Arial" w:hAnsi="Arial"/>
          <w:sz w:val="17"/>
          <w:szCs w:val="17"/>
          <w:color w:val="auto"/>
        </w:rPr>
        <w:t>.</w:t>
      </w:r>
    </w:p>
    <w:p>
      <w:pPr>
        <w:spacing w:after="0" w:line="71" w:lineRule="exact"/>
        <w:rPr>
          <w:sz w:val="20"/>
          <w:szCs w:val="20"/>
          <w:color w:val="auto"/>
        </w:rPr>
      </w:pPr>
    </w:p>
    <w:p>
      <w:pPr>
        <w:ind w:right="140" w:firstLine="225"/>
        <w:spacing w:after="0" w:line="288" w:lineRule="auto"/>
        <w:rPr>
          <w:sz w:val="20"/>
          <w:szCs w:val="20"/>
          <w:color w:val="auto"/>
        </w:rPr>
      </w:pPr>
      <w:r>
        <w:rPr>
          <w:rFonts w:ascii="Arial" w:cs="Arial" w:eastAsia="Arial" w:hAnsi="Arial"/>
          <w:sz w:val="16"/>
          <w:szCs w:val="16"/>
          <w:color w:val="auto"/>
        </w:rPr>
        <w:t>Fidelity National Information Services, Inc. is a leading provider of core processing for financial institutions; card issuer and transaction processing services; mortgage loan processing and mortgage-related information products; and outsourcing services to financial institutions, retailers, mortgage lenders and real estate professionals. FIS has processing and technology relationships with 35 of the top 50 global banks, including nine of the top ten. Nearly</w:t>
      </w:r>
    </w:p>
    <w:p>
      <w:pPr>
        <w:ind w:right="20"/>
        <w:spacing w:after="0" w:line="255" w:lineRule="auto"/>
        <w:rPr>
          <w:sz w:val="20"/>
          <w:szCs w:val="20"/>
          <w:color w:val="auto"/>
        </w:rPr>
      </w:pPr>
      <w:r>
        <w:rPr>
          <w:rFonts w:ascii="Arial" w:cs="Arial" w:eastAsia="Arial" w:hAnsi="Arial"/>
          <w:sz w:val="18"/>
          <w:szCs w:val="18"/>
          <w:color w:val="auto"/>
        </w:rPr>
        <w:t xml:space="preserve">50 percent of all U.S. residential mortgages are processed using FIS software. Headquartered in Jacksonville, Florida, FIS maintains a strong global presence, serving over 7,800 financial institutions in more than 60 countries worldwide. For more information on Fidelity National Information Services, please visit </w:t>
      </w:r>
      <w:r>
        <w:rPr>
          <w:rFonts w:ascii="Arial" w:cs="Arial" w:eastAsia="Arial" w:hAnsi="Arial"/>
          <w:sz w:val="18"/>
          <w:szCs w:val="18"/>
          <w:u w:val="single" w:color="auto"/>
          <w:color w:val="auto"/>
        </w:rPr>
        <w:t>www.fidelityinfoservices.com</w:t>
      </w:r>
      <w:r>
        <w:rPr>
          <w:rFonts w:ascii="Arial" w:cs="Arial" w:eastAsia="Arial" w:hAnsi="Arial"/>
          <w:sz w:val="18"/>
          <w:szCs w:val="18"/>
          <w:color w:val="auto"/>
        </w:rPr>
        <w:t>.</w:t>
      </w:r>
    </w:p>
    <w:p>
      <w:pPr>
        <w:spacing w:after="0" w:line="8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This press release contains forward-looking statements that involve a number of risks and uncertainties. Statements that are not historical facts, including statements about our beliefs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p>
      <w:pPr>
        <w:spacing w:after="0" w:line="285" w:lineRule="auto"/>
        <w:rPr>
          <w:sz w:val="20"/>
          <w:szCs w:val="20"/>
          <w:color w:val="auto"/>
        </w:rPr>
      </w:pPr>
      <w:r>
        <w:rPr>
          <w:rFonts w:ascii="Arial" w:cs="Arial" w:eastAsia="Arial" w:hAnsi="Arial"/>
          <w:sz w:val="16"/>
          <w:szCs w:val="16"/>
          <w:color w:val="auto"/>
        </w:rPr>
        <w:t>expectations, are forward-looking statements. Forward-looking statements are based on FNF and FIS’ management’s beliefs, as well as assumptions made by, and information currently available to, management. Because such statements are based on expectations as to future economic performance and are not statements of fact, actual results may differ materially from those projected. FNF and FIS undertake no obligation to update any forward-looking statements, whether as a result of new information, future events or otherwise. The risks and uncertainties which forward-looking statements are subject to include, but are not limited to: the possibility that the transactions described in this press release will not be completed, or will be completed in a different form or with different effects on holders of the stock of FNF, FNT or FIS than described , or will not be successful in achieving the goals targeted; changes in general economic, business and political conditions, including changes in the financial markets; adverse changes in the level of real estate activity, which may be caused by, among other things, high or increasing interest rates, a limited supply of mortgage funding or a weak U. S. economy; FNF’s potential inability to find suitable acquisition candidates, acquisitions in lines of business that will not necessarily be limited to FNF’s traditional areas of focus, or difficulties in integrating acquisitions; FNF’s dependence on operating subsidiaries as a source of cash flow; significant competition that FNF’s operating subsidiaries face; compliance with extensive government regulation of FNF’s operating subsidiaries; regulatory investigations of the title insurance industry; the risk that FIS’ recent merger with a subsidiary of FNF may fail to achieve beneficial synergies or that it may take longer than expected to do so; the effects of FIS’ substantial leverage, which may limit the funds available to make acquisitions and invest in its business; the risks of reduction in FIS revenue from the elimination of existing and potential customers due to consolidation in the banking, retail and financial services industries; failures by FIS to adapt its services to changes in technology or in the marketplace; FIS’ potential inability to find suitable acquisition candidates or difficulties in integrating acquisitions; significant competition that FIS operating subsidiaries face; and other risks detailed in the “Statement Regarding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Looking Information,” “Risk Factors” and other sections of the FNF and FIS Form 10-K’s and other filings with the Securities and Exchange Commission.</w:t>
      </w:r>
    </w:p>
    <w:p>
      <w:pPr>
        <w:spacing w:after="0" w:line="140"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This press release does not constitute an offer of any securities for sale. In connection with the proposed transaction, FNF and FIS will file with the SEC a proxy statement and a registration statement in which the proxy statement will be included as a prospectus. In addition, FNT will file an information statement and may file a registration statement and prospectus with the SEC in connection with the Securities Exchange and Distribution Agreement.</w:t>
      </w:r>
    </w:p>
    <w:p>
      <w:pPr>
        <w:spacing w:after="0" w:line="254" w:lineRule="auto"/>
        <w:rPr>
          <w:sz w:val="20"/>
          <w:szCs w:val="20"/>
          <w:color w:val="auto"/>
        </w:rPr>
      </w:pPr>
      <w:r>
        <w:rPr>
          <w:rFonts w:ascii="Arial" w:cs="Arial" w:eastAsia="Arial" w:hAnsi="Arial"/>
          <w:sz w:val="18"/>
          <w:szCs w:val="18"/>
          <w:color w:val="auto"/>
        </w:rPr>
        <w:t xml:space="preserve">INVESTORS ARE ADVISED TO READ THESE AND ALL RELATED DOCUMENTS WHEN THEY BECOME AVAILABLE BECAUSE THEY WILL CONTAIN IMPORTANT INFORMATION. Investors may obtain a free copy of these materials when they become available from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Free copies of these documents may also be obtained from FNF or FIS by directing a request to either of the companies at 601 Riverside Drive, Jacksonville, FL 32204, Attention: Corporate Secretary.</w:t>
      </w:r>
    </w:p>
    <w:p>
      <w:pPr>
        <w:spacing w:after="0" w:line="82"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 xml:space="preserve">FNF, FIS and their respective officers and directors may be deemed, under SEC rules, to be participants in the solicitation of proxies from FNF’s stockholders with respect to the merger. A description of any interests that any such participant may have in the merger will be available in the proxy statement. Information concerning FNF’s directors and executive officers is set forth in FNF’s annual report on Form 10-K/A filed with the SEC on May 1, 2006. Information concerning FIS’ directors and executive officers is set forth in FIS’ annual report on Form 10-K/A filed with the SEC on May 1, 2006. These documents are available free of charge at the SEC’s web site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going to FNF’s Investor Relations page on its corporate website at </w:t>
      </w:r>
      <w:r>
        <w:rPr>
          <w:rFonts w:ascii="Arial" w:cs="Arial" w:eastAsia="Arial" w:hAnsi="Arial"/>
          <w:sz w:val="17"/>
          <w:szCs w:val="17"/>
          <w:u w:val="single" w:color="auto"/>
          <w:color w:val="auto"/>
        </w:rPr>
        <w:t>www.fnf.com</w:t>
      </w:r>
      <w:r>
        <w:rPr>
          <w:rFonts w:ascii="Arial" w:cs="Arial" w:eastAsia="Arial" w:hAnsi="Arial"/>
          <w:sz w:val="17"/>
          <w:szCs w:val="17"/>
          <w:color w:val="auto"/>
        </w:rPr>
        <w:t xml:space="preserve"> or to FIS’ Investor Relations page on its corporate website at </w:t>
      </w:r>
      <w:r>
        <w:rPr>
          <w:rFonts w:ascii="Arial" w:cs="Arial" w:eastAsia="Arial" w:hAnsi="Arial"/>
          <w:sz w:val="17"/>
          <w:szCs w:val="17"/>
          <w:u w:val="single" w:color="auto"/>
          <w:color w:val="auto"/>
        </w:rPr>
        <w:t>www.fidelityinfoservices.com</w:t>
      </w:r>
      <w:r>
        <w:rPr>
          <w:rFonts w:ascii="Arial" w:cs="Arial" w:eastAsia="Arial" w:hAnsi="Arial"/>
          <w:sz w:val="17"/>
          <w:szCs w:val="17"/>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SOURCES: Fidelity National Financial, Inc. and Fidelity National Information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6" w:name="page7"/>
    <w:bookmarkEnd w:id="6"/>
    <w:p>
      <w:pPr>
        <w:spacing w:after="0" w:line="264" w:lineRule="auto"/>
        <w:rPr>
          <w:sz w:val="20"/>
          <w:szCs w:val="20"/>
          <w:color w:val="auto"/>
        </w:rPr>
      </w:pPr>
      <w:r>
        <w:rPr>
          <w:rFonts w:ascii="Arial" w:cs="Arial" w:eastAsia="Arial" w:hAnsi="Arial"/>
          <w:sz w:val="18"/>
          <w:szCs w:val="18"/>
          <w:color w:val="auto"/>
        </w:rPr>
        <w:t>CONTACTS: Daniel Kennedy Murphy, Senior Vice President, Finance and Investor Relations, Fidelity National Financial, Inc., 904-854-8120, dkmurphy@fnf.com; Mary Waggoner, Senior Vice President, Investor Relations, Fidelity National Information Services, Inc., 904-854-3282, mary.waggoner@fnf.com</w:t>
      </w:r>
    </w:p>
    <w:sectPr>
      <w:pgSz w:w="11900" w:h="16838" w:orient="portrait"/>
      <w:cols w:equalWidth="0" w:num="1">
        <w:col w:w="10340"/>
      </w:cols>
      <w:pgMar w:left="240" w:top="935"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2019-12-16T06:22:25Z</dcterms:created>
  <dcterms:modified xsi:type="dcterms:W3CDTF">2019-12-16T06:22:25Z</dcterms:modified>
</cp:coreProperties>
</file>