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048026.xml.htm"/>
      <w:bookmarkStart w:id="1" w:name="kswkform3_178604802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93"/>
        <w:gridCol w:w="1510"/>
        <w:gridCol w:w="3032"/>
        <w:gridCol w:w="2470"/>
      </w:tblGrid>
      <w:tr>
        <w:trPr/>
        <w:tc>
          <w:tcPr>
            <w:tcW w:w="3193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Keller Charles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550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0"/>
              <w:gridCol w:w="436"/>
              <w:gridCol w:w="1020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1"/>
              <w:gridCol w:w="1999"/>
            </w:tblGrid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203.44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23,518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03/29/2023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03/29/2027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2,074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120.1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03/29/2024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03/29/2028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143.97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02/28/2025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02/28/2029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2,101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95.23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3, 2026, the reporting person was granted restricted stock units which will vest in three equal annual installments commencing on the first anniversary date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FIS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Keller,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956" TargetMode="External"/><Relationship Id="rId3" Type="http://schemas.openxmlformats.org/officeDocument/2006/relationships/hyperlink" Target="http://www.sec.gov/cgi-bin/browse-edgar?action=getcompany&amp;CIK=000113689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485</Words>
  <Characters>2678</Characters>
  <CharactersWithSpaces>3086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