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United States Securities and Exchange Commission on October 21, 2009.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333-147453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METAVANTE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4"/>
              </w:rPr>
              <w:t>Wisconsin</w:t>
            </w:r>
          </w:p>
        </w:tc>
        <w:tc>
          <w:tcPr>
            <w:tcW w:w="2960" w:type="dxa"/>
            <w:vAlign w:val="bottom"/>
          </w:tcPr>
          <w:p>
            <w:pPr>
              <w:jc w:val="right"/>
              <w:ind w:right="44"/>
              <w:spacing w:after="0"/>
              <w:rPr>
                <w:sz w:val="20"/>
                <w:szCs w:val="20"/>
                <w:color w:val="auto"/>
              </w:rPr>
            </w:pPr>
            <w:r>
              <w:rPr>
                <w:rFonts w:ascii="Arial" w:cs="Arial" w:eastAsia="Arial" w:hAnsi="Arial"/>
                <w:sz w:val="18"/>
                <w:szCs w:val="18"/>
                <w:b w:val="1"/>
                <w:bCs w:val="1"/>
                <w:color w:val="auto"/>
              </w:rPr>
              <w:t>39-0968604</w:t>
            </w:r>
          </w:p>
        </w:tc>
      </w:tr>
      <w:tr>
        <w:trPr>
          <w:trHeight w:val="149"/>
        </w:trPr>
        <w:tc>
          <w:tcPr>
            <w:tcW w:w="4920" w:type="dxa"/>
            <w:vAlign w:val="bottom"/>
          </w:tcPr>
          <w:p>
            <w:pPr>
              <w:jc w:val="center"/>
              <w:ind w:right="18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60" w:type="dxa"/>
            <w:vAlign w:val="bottom"/>
          </w:tcPr>
          <w:p>
            <w:pPr>
              <w:jc w:val="center"/>
              <w:ind w:left="18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20" w:type="dxa"/>
            <w:vAlign w:val="bottom"/>
          </w:tcPr>
          <w:p>
            <w:pPr>
              <w:jc w:val="center"/>
              <w:ind w:right="1802"/>
              <w:spacing w:after="0"/>
              <w:rPr>
                <w:sz w:val="20"/>
                <w:szCs w:val="20"/>
                <w:color w:val="auto"/>
              </w:rPr>
            </w:pPr>
            <w:r>
              <w:rPr>
                <w:rFonts w:ascii="Arial" w:cs="Arial" w:eastAsia="Arial" w:hAnsi="Arial"/>
                <w:sz w:val="14"/>
                <w:szCs w:val="14"/>
                <w:b w:val="1"/>
                <w:bCs w:val="1"/>
                <w:color w:val="auto"/>
                <w:w w:val="88"/>
              </w:rPr>
              <w:t>incorporation or organization)</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920" w:type="dxa"/>
            <w:vAlign w:val="bottom"/>
          </w:tcPr>
          <w:p>
            <w:pPr>
              <w:jc w:val="center"/>
              <w:ind w:right="1782"/>
              <w:spacing w:after="0"/>
              <w:rPr>
                <w:sz w:val="20"/>
                <w:szCs w:val="20"/>
                <w:color w:val="auto"/>
              </w:rPr>
            </w:pPr>
            <w:r>
              <w:rPr>
                <w:rFonts w:ascii="Arial" w:cs="Arial" w:eastAsia="Arial" w:hAnsi="Arial"/>
                <w:sz w:val="18"/>
                <w:szCs w:val="18"/>
                <w:b w:val="1"/>
                <w:bCs w:val="1"/>
                <w:color w:val="auto"/>
                <w:w w:val="90"/>
              </w:rPr>
              <w:t>c/o Metavante Holdings, LLC</w:t>
            </w:r>
          </w:p>
        </w:tc>
        <w:tc>
          <w:tcPr>
            <w:tcW w:w="2960" w:type="dxa"/>
            <w:vAlign w:val="bottom"/>
          </w:tcPr>
          <w:p>
            <w:pPr>
              <w:spacing w:after="0"/>
              <w:rPr>
                <w:sz w:val="24"/>
                <w:szCs w:val="24"/>
                <w:color w:val="auto"/>
              </w:rPr>
            </w:pPr>
          </w:p>
        </w:tc>
      </w:tr>
      <w:tr>
        <w:trPr>
          <w:trHeight w:val="231"/>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7"/>
              </w:rPr>
              <w:t>601 Riverside Ave., Jacksonville, Florida</w:t>
            </w:r>
          </w:p>
        </w:tc>
        <w:tc>
          <w:tcPr>
            <w:tcW w:w="2960" w:type="dxa"/>
            <w:vAlign w:val="bottom"/>
          </w:tcPr>
          <w:p>
            <w:pPr>
              <w:jc w:val="right"/>
              <w:ind w:right="244"/>
              <w:spacing w:after="0"/>
              <w:rPr>
                <w:sz w:val="20"/>
                <w:szCs w:val="20"/>
                <w:color w:val="auto"/>
              </w:rPr>
            </w:pPr>
            <w:r>
              <w:rPr>
                <w:rFonts w:ascii="Arial" w:cs="Arial" w:eastAsia="Arial" w:hAnsi="Arial"/>
                <w:sz w:val="18"/>
                <w:szCs w:val="18"/>
                <w:b w:val="1"/>
                <w:bCs w:val="1"/>
                <w:color w:val="auto"/>
              </w:rPr>
              <w:t>32204</w:t>
            </w:r>
          </w:p>
        </w:tc>
      </w:tr>
      <w:tr>
        <w:trPr>
          <w:trHeight w:val="174"/>
        </w:trPr>
        <w:tc>
          <w:tcPr>
            <w:tcW w:w="4920" w:type="dxa"/>
            <w:vAlign w:val="bottom"/>
          </w:tcPr>
          <w:p>
            <w:pPr>
              <w:jc w:val="center"/>
              <w:ind w:right="17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METAVANTE RETIREMENT PROGRAM</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D. Cook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Metavante Holdings,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Riverside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Florida 32204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(904) 854-5000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43"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55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55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17"/>
        </w:trPr>
        <w:tc>
          <w:tcPr>
            <w:tcW w:w="176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This Post-Effective Amendment No. 1 relates to the Registration Statement on Form S-8 (Registration No. 333-147453) previously filed by Metavante Technologies, Inc. (“Metavante”) on November 16, 2007 (the “Registration Statement”).</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Pursuant to the Agreement and Plan of Merger, dated as of March 31, 2009, by and among Fidelity National Information Services, Inc. (“FIS”), Cars Holdings, LLC (renamed Metavante Holdings, LLC as of the effective time of the Merger), a direct, wholly owned subsidiary of FIS (“Merger Sub”), and Metavante, Metavante merged with and into Merger Sub, with Metavante ceasing to exist and Merger Sub surviving the merger and remaining a wholly owned subsidiary of FIS (the “Merger”). The Merger became effective at 10:00 a.m., Eastern Time, on October 1, 2009 (the “Effective Time”).</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the Effective Time, each share of Metavante common stock outstanding immediately prior to the Effective Time was cancelled and automatically converted into the right to receive 1.35 shares of FIS common stock.</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the Merger, Metavante has terminated all offerings of securities pursuant to its existing registration statements under the Securities Act of 1933, as amended, including the Registration Statement. In accordance with the undertaking made by Metavante in the Registration Statement to remove from registration by means of a post-effective amendment any of its securities being registered under the Registration Statement which remain unsold at the termination of the offering, Merger Sub (as successor to Metavante) hereby terminates the effectiveness of the Registration Statement and deregisters any and all shares of Metavante common stock originally reserved for issuance under the plan covered by the Registration Statement and registered under the Registration Statement, which remain unsold or unissued as of the date hereof.</w:t>
      </w:r>
    </w:p>
    <w:p>
      <w:pPr>
        <w:spacing w:after="0" w:line="120" w:lineRule="exact"/>
        <w:rPr>
          <w:sz w:val="20"/>
          <w:szCs w:val="20"/>
          <w:color w:val="auto"/>
        </w:rPr>
      </w:pPr>
    </w:p>
    <w:p>
      <w:pPr>
        <w:ind w:left="5060"/>
        <w:spacing w:after="0"/>
        <w:tabs>
          <w:tab w:leader="none" w:pos="56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Jacksonville, State of Florida, on October 21, 2009.</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METAVANTE HOLDINGS, LLC (as successor to</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Metavante Technologies, Inc.)</w:t>
      </w:r>
    </w:p>
    <w:p>
      <w:pPr>
        <w:spacing w:after="0" w:line="232" w:lineRule="exact"/>
        <w:rPr>
          <w:sz w:val="20"/>
          <w:szCs w:val="20"/>
          <w:color w:val="auto"/>
        </w:rPr>
      </w:pPr>
    </w:p>
    <w:p>
      <w:pPr>
        <w:ind w:left="6860"/>
        <w:spacing w:after="0"/>
        <w:tabs>
          <w:tab w:leader="none" w:pos="8340" w:val="left"/>
          <w:tab w:leader="none" w:pos="8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ONALD</w:t>
      </w:r>
      <w:r>
        <w:rPr>
          <w:rFonts w:ascii="Arial" w:cs="Arial" w:eastAsia="Arial" w:hAnsi="Arial"/>
          <w:sz w:val="16"/>
          <w:szCs w:val="16"/>
          <w:color w:val="auto"/>
        </w:rPr>
        <w:t xml:space="preserve"> D. C</w:t>
      </w:r>
      <w:r>
        <w:rPr>
          <w:rFonts w:ascii="Arial" w:cs="Arial" w:eastAsia="Arial" w:hAnsi="Arial"/>
          <w:sz w:val="13"/>
          <w:szCs w:val="13"/>
          <w:color w:val="auto"/>
        </w:rPr>
        <w:t>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Name: Ronald D. Cook</w:t>
      </w:r>
    </w:p>
    <w:p>
      <w:pPr>
        <w:jc w:val="center"/>
        <w:ind w:left="6860"/>
        <w:spacing w:after="0" w:line="223" w:lineRule="auto"/>
        <w:rPr>
          <w:sz w:val="20"/>
          <w:szCs w:val="20"/>
          <w:color w:val="auto"/>
        </w:rPr>
      </w:pPr>
      <w:r>
        <w:rPr>
          <w:rFonts w:ascii="Arial" w:cs="Arial" w:eastAsia="Arial" w:hAnsi="Arial"/>
          <w:sz w:val="14"/>
          <w:szCs w:val="14"/>
          <w:b w:val="1"/>
          <w:bCs w:val="1"/>
          <w:color w:val="auto"/>
        </w:rPr>
        <w:t>Title: Executive Vice President, General Counsel and</w:t>
      </w:r>
    </w:p>
    <w:p>
      <w:pPr>
        <w:jc w:val="center"/>
        <w:ind w:left="6860"/>
        <w:spacing w:after="0"/>
        <w:rPr>
          <w:sz w:val="20"/>
          <w:szCs w:val="20"/>
          <w:color w:val="auto"/>
        </w:rPr>
      </w:pPr>
      <w:r>
        <w:rPr>
          <w:rFonts w:ascii="Arial" w:cs="Arial" w:eastAsia="Arial" w:hAnsi="Arial"/>
          <w:sz w:val="14"/>
          <w:szCs w:val="14"/>
          <w:b w:val="1"/>
          <w:bCs w:val="1"/>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Capacity</w:t>
            </w:r>
          </w:p>
        </w:tc>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4"/>
                <w:szCs w:val="14"/>
                <w:color w:val="auto"/>
              </w:rPr>
            </w:pPr>
          </w:p>
        </w:tc>
      </w:tr>
      <w:tr>
        <w:trPr>
          <w:trHeight w:val="424"/>
        </w:trPr>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RANK</w:t>
            </w:r>
            <w:r>
              <w:rPr>
                <w:rFonts w:ascii="Arial" w:cs="Arial" w:eastAsia="Arial" w:hAnsi="Arial"/>
                <w:sz w:val="18"/>
                <w:szCs w:val="18"/>
                <w:color w:val="auto"/>
                <w:w w:val="99"/>
              </w:rPr>
              <w:t xml:space="preserve"> R. M</w:t>
            </w:r>
            <w:r>
              <w:rPr>
                <w:rFonts w:ascii="Arial" w:cs="Arial" w:eastAsia="Arial" w:hAnsi="Arial"/>
                <w:sz w:val="14"/>
                <w:szCs w:val="14"/>
                <w:color w:val="auto"/>
                <w:w w:val="99"/>
              </w:rPr>
              <w:t>ARTIRE</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8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October 21, 2009</w:t>
            </w:r>
          </w:p>
        </w:tc>
      </w:tr>
      <w:tr>
        <w:trPr>
          <w:trHeight w:val="202"/>
        </w:trPr>
        <w:tc>
          <w:tcPr>
            <w:tcW w:w="1320" w:type="dxa"/>
            <w:vAlign w:val="bottom"/>
          </w:tcPr>
          <w:p>
            <w:pPr>
              <w:spacing w:after="0"/>
              <w:rPr>
                <w:sz w:val="17"/>
                <w:szCs w:val="17"/>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3"/>
              </w:rPr>
              <w:t>Frank R. Martire</w:t>
            </w:r>
          </w:p>
        </w:tc>
        <w:tc>
          <w:tcPr>
            <w:tcW w:w="50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EORGE</w:t>
            </w:r>
            <w:r>
              <w:rPr>
                <w:rFonts w:ascii="Arial" w:cs="Arial" w:eastAsia="Arial" w:hAnsi="Arial"/>
                <w:sz w:val="18"/>
                <w:szCs w:val="18"/>
                <w:color w:val="auto"/>
                <w:w w:val="95"/>
              </w:rPr>
              <w:t xml:space="preserve"> P. S</w:t>
            </w:r>
            <w:r>
              <w:rPr>
                <w:rFonts w:ascii="Arial" w:cs="Arial" w:eastAsia="Arial" w:hAnsi="Arial"/>
                <w:sz w:val="14"/>
                <w:szCs w:val="14"/>
                <w:color w:val="auto"/>
                <w:w w:val="95"/>
              </w:rPr>
              <w:t>CANLON</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Financial Officer and Chief</w:t>
            </w:r>
          </w:p>
        </w:tc>
        <w:tc>
          <w:tcPr>
            <w:tcW w:w="18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October 21, 2009</w:t>
            </w:r>
          </w:p>
        </w:tc>
      </w:tr>
      <w:tr>
        <w:trPr>
          <w:trHeight w:val="190"/>
        </w:trPr>
        <w:tc>
          <w:tcPr>
            <w:tcW w:w="1320" w:type="dxa"/>
            <w:vAlign w:val="bottom"/>
          </w:tcPr>
          <w:p>
            <w:pPr>
              <w:spacing w:after="0"/>
              <w:rPr>
                <w:sz w:val="16"/>
                <w:szCs w:val="16"/>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George P. Scanlon</w:t>
            </w:r>
          </w:p>
        </w:tc>
        <w:tc>
          <w:tcPr>
            <w:tcW w:w="508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Accounting Officer</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22"/>
        </w:trPr>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2019-12-11T03:29:02Z</dcterms:created>
  <dcterms:modified xsi:type="dcterms:W3CDTF">2019-12-11T03:29:02Z</dcterms:modified>
</cp:coreProperties>
</file>