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Hook Lisa</w:t>
              </w:r>
            </w:hyperlink>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Worldpay,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WORLDPAY,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5"/>
          </w:tcPr>
          <w:p>
            <w:pPr>
              <w:ind w:left="160"/>
              <w:spacing w:after="0"/>
              <w:rPr>
                <w:sz w:val="20"/>
                <w:szCs w:val="20"/>
                <w:color w:val="auto"/>
              </w:rPr>
            </w:pPr>
            <w:r>
              <w:rPr>
                <w:rFonts w:ascii="Arial" w:cs="Arial" w:eastAsia="Arial" w:hAnsi="Arial"/>
                <w:sz w:val="18"/>
                <w:szCs w:val="18"/>
                <w:color w:val="0000FF"/>
              </w:rPr>
              <w:t>07/31/2019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3"/>
              </w:rPr>
              <w:t>8500 GOVERNOR'S HILL DRIVE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CINCINNATI</w:t>
            </w:r>
          </w:p>
        </w:tc>
        <w:tc>
          <w:tcPr>
            <w:tcW w:w="300" w:type="dxa"/>
            <w:vAlign w:val="bottom"/>
          </w:tcPr>
          <w:p>
            <w:pPr>
              <w:ind w:left="40"/>
              <w:spacing w:after="0"/>
              <w:rPr>
                <w:sz w:val="20"/>
                <w:szCs w:val="20"/>
                <w:color w:val="auto"/>
              </w:rPr>
            </w:pPr>
            <w:r>
              <w:rPr>
                <w:rFonts w:ascii="Arial" w:cs="Arial" w:eastAsia="Arial" w:hAnsi="Arial"/>
                <w:sz w:val="18"/>
                <w:szCs w:val="18"/>
                <w:color w:val="0000FF"/>
                <w:w w:val="88"/>
              </w:rPr>
              <w:t>OH</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45249-1384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07/31/2019</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0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12,845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6"/>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10,525 restricted stock units.</w:t>
      </w:r>
    </w:p>
    <w:p>
      <w:pPr>
        <w:spacing w:after="0" w:line="41"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of Class A common stock were disposed of pursuant to a merger agreement between the issuer and Fidelity National Information Services, Inc. ("FIS"). Upon the closing of the merger, (i) 10,525 of these shares were converted into restricted stock units related to shares of FIS common stock pursuant to an exchange ratio that is designed to maintain the intrinsic value of the award immediately prior to the closing of the merger and (ii) 2,320 were converted into shares of FIS common stock and cash in accordance with the merger agreement (0.9287 shares of FIS common stock and $11.00 per share of Worldpay Class A common stock).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Bryan A. Jacobs,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07/31/2019</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in-fact for Lisa Hook</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3269" TargetMode="External"/><Relationship Id="rId13" Type="http://schemas.openxmlformats.org/officeDocument/2006/relationships/hyperlink" Target="http://www.sec.gov/cgi-bin/browse-edgar?action=getcompany&amp;CIK=00015339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2019-12-24T07:43:29Z</dcterms:created>
  <dcterms:modified xsi:type="dcterms:W3CDTF">2019-12-24T07:43:29Z</dcterms:modified>
</cp:coreProperties>
</file>