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UNITED STATES</w:t>
            </w:r>
          </w:p>
        </w:tc>
        <w:tc>
          <w:tcPr>
            <w:tcW w:w="18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78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5"/>
              </w:rPr>
              <w:t>SECURITIES AND EXCHANGE COMMISSION</w:t>
            </w:r>
          </w:p>
        </w:tc>
        <w:tc>
          <w:tcPr>
            <w:tcW w:w="186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78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5440" w:type="dxa"/>
            <w:vAlign w:val="bottom"/>
            <w:gridSpan w:val="2"/>
            <w:vMerge w:val="restart"/>
          </w:tcPr>
          <w:p>
            <w:pPr>
              <w:jc w:val="center"/>
              <w:ind w:right="1000"/>
              <w:spacing w:after="0"/>
              <w:rPr>
                <w:sz w:val="20"/>
                <w:szCs w:val="20"/>
                <w:color w:val="auto"/>
              </w:rPr>
            </w:pPr>
            <w:r>
              <w:rPr>
                <w:rFonts w:ascii="Arial" w:cs="Arial" w:eastAsia="Arial" w:hAnsi="Arial"/>
                <w:sz w:val="22"/>
                <w:szCs w:val="22"/>
                <w:color w:val="auto"/>
                <w:w w:val="88"/>
              </w:rPr>
              <w:t>Washington, D.C. 20549</w:t>
            </w:r>
          </w:p>
        </w:tc>
        <w:tc>
          <w:tcPr>
            <w:tcW w:w="1860" w:type="dxa"/>
            <w:vAlign w:val="bottom"/>
          </w:tcPr>
          <w:p>
            <w:pPr>
              <w:ind w:left="60"/>
              <w:spacing w:after="0"/>
              <w:rPr>
                <w:sz w:val="20"/>
                <w:szCs w:val="20"/>
                <w:color w:val="auto"/>
              </w:rPr>
            </w:pPr>
            <w:r>
              <w:rPr>
                <w:rFonts w:ascii="Arial" w:cs="Arial" w:eastAsia="Arial" w:hAnsi="Arial"/>
                <w:sz w:val="22"/>
                <w:szCs w:val="22"/>
                <w:color w:val="auto"/>
              </w:rPr>
              <w:t>Expires:</w:t>
            </w:r>
          </w:p>
        </w:tc>
        <w:tc>
          <w:tcPr>
            <w:tcW w:w="1780" w:type="dxa"/>
            <w:vAlign w:val="bottom"/>
          </w:tcPr>
          <w:p>
            <w:pPr>
              <w:ind w:left="10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00"/>
              <w:spacing w:after="0"/>
              <w:rPr>
                <w:sz w:val="20"/>
                <w:szCs w:val="20"/>
                <w:color w:val="auto"/>
              </w:rPr>
            </w:pPr>
            <w:r>
              <w:rPr>
                <w:rFonts w:ascii="Arial" w:cs="Arial" w:eastAsia="Arial" w:hAnsi="Arial"/>
                <w:sz w:val="22"/>
                <w:szCs w:val="22"/>
                <w:color w:val="auto"/>
                <w:w w:val="92"/>
              </w:rPr>
              <w:t>FORM 25</w:t>
            </w:r>
          </w:p>
        </w:tc>
        <w:tc>
          <w:tcPr>
            <w:tcW w:w="186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90"/>
              </w:rPr>
              <w:t>hours per response:</w:t>
            </w:r>
          </w:p>
        </w:tc>
        <w:tc>
          <w:tcPr>
            <w:tcW w:w="178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60" w:type="dxa"/>
            <w:vAlign w:val="bottom"/>
            <w:tcBorders>
              <w:bottom w:val="single" w:sz="8" w:color="2C2C2C"/>
            </w:tcBorders>
          </w:tcPr>
          <w:p>
            <w:pPr>
              <w:spacing w:after="0" w:line="20" w:lineRule="exact"/>
              <w:rPr>
                <w:sz w:val="1"/>
                <w:szCs w:val="1"/>
                <w:color w:val="auto"/>
              </w:rPr>
            </w:pPr>
          </w:p>
        </w:tc>
        <w:tc>
          <w:tcPr>
            <w:tcW w:w="1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4567555</wp:posOffset>
            </wp:positionH>
            <wp:positionV relativeFrom="page">
              <wp:posOffset>170180</wp:posOffset>
            </wp:positionV>
            <wp:extent cx="2391410" cy="10883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1410" cy="1088390"/>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6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400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001-16427</w:t>
        </w:r>
      </w:hyperlink>
    </w:p>
    <w:p>
      <w:pPr>
        <w:spacing w:after="0" w:line="125" w:lineRule="exact"/>
        <w:rPr>
          <w:sz w:val="24"/>
          <w:szCs w:val="24"/>
          <w:color w:val="auto"/>
        </w:rPr>
      </w:pPr>
    </w:p>
    <w:p>
      <w:pPr>
        <w:ind w:left="2640"/>
        <w:spacing w:after="0"/>
        <w:tabs>
          <w:tab w:leader="none" w:pos="358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Fidelity National Information Services, Inc.</w:t>
        </w:r>
      </w:hyperlink>
    </w:p>
    <w:p>
      <w:pPr>
        <w:spacing w:after="0" w:line="44" w:lineRule="exact"/>
        <w:rPr>
          <w:sz w:val="24"/>
          <w:szCs w:val="24"/>
          <w:color w:val="auto"/>
        </w:rPr>
      </w:pPr>
    </w:p>
    <w:p>
      <w:pPr>
        <w:ind w:left="2640"/>
        <w:spacing w:after="0"/>
        <w:rPr>
          <w:sz w:val="20"/>
          <w:szCs w:val="20"/>
          <w:color w:val="auto"/>
        </w:rPr>
      </w:pPr>
      <w:r>
        <w:rPr>
          <w:rFonts w:ascii="Arial" w:cs="Arial" w:eastAsia="Arial" w:hAnsi="Arial"/>
          <w:sz w:val="22"/>
          <w:szCs w:val="22"/>
          <w:color w:val="auto"/>
        </w:rPr>
        <w:t>Exchange: NEW YORK STOCK EXCHANGE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41275</wp:posOffset>
            </wp:positionV>
            <wp:extent cx="5537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880"/>
        <w:spacing w:after="0"/>
        <w:rPr>
          <w:sz w:val="20"/>
          <w:szCs w:val="20"/>
          <w:color w:val="auto"/>
        </w:rPr>
      </w:pPr>
      <w:r>
        <w:rPr>
          <w:rFonts w:ascii="Arial" w:cs="Arial" w:eastAsia="Arial" w:hAnsi="Arial"/>
          <w:sz w:val="22"/>
          <w:szCs w:val="22"/>
          <w:color w:val="auto"/>
        </w:rPr>
        <w:t>Address: 601 Riverside Avenue, 12th Floor</w:t>
      </w:r>
    </w:p>
    <w:p>
      <w:pPr>
        <w:sectPr>
          <w:pgSz w:w="11900" w:h="16838" w:orient="portrait"/>
          <w:cols w:equalWidth="0" w:num="1">
            <w:col w:w="10020"/>
          </w:cols>
          <w:pgMar w:left="920" w:top="309" w:right="959" w:bottom="1440" w:gutter="0" w:footer="0" w:header="0"/>
        </w:sectPr>
      </w:pPr>
    </w:p>
    <w:p>
      <w:pPr>
        <w:spacing w:after="0" w:line="44" w:lineRule="exact"/>
        <w:rPr>
          <w:sz w:val="24"/>
          <w:szCs w:val="24"/>
          <w:color w:val="auto"/>
        </w:rPr>
      </w:pPr>
    </w:p>
    <w:p>
      <w:pPr>
        <w:ind w:left="3700"/>
        <w:spacing w:after="0"/>
        <w:rPr>
          <w:sz w:val="20"/>
          <w:szCs w:val="20"/>
          <w:color w:val="auto"/>
        </w:rPr>
      </w:pPr>
      <w:r>
        <w:rPr>
          <w:rFonts w:ascii="Arial" w:cs="Arial" w:eastAsia="Arial" w:hAnsi="Arial"/>
          <w:sz w:val="19"/>
          <w:szCs w:val="19"/>
          <w:color w:val="auto"/>
        </w:rPr>
        <w:t>Jacksonville</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21"/>
          <w:szCs w:val="21"/>
          <w:color w:val="auto"/>
        </w:rPr>
        <w:t>FLORIDA</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9"/>
          <w:szCs w:val="19"/>
          <w:color w:val="auto"/>
        </w:rPr>
        <w:t>32204</w:t>
      </w:r>
    </w:p>
    <w:p>
      <w:pPr>
        <w:spacing w:after="0" w:line="78" w:lineRule="exact"/>
        <w:rPr>
          <w:sz w:val="24"/>
          <w:szCs w:val="24"/>
          <w:color w:val="auto"/>
        </w:rPr>
      </w:pPr>
    </w:p>
    <w:p>
      <w:pPr>
        <w:sectPr>
          <w:pgSz w:w="11900" w:h="16838" w:orient="portrait"/>
          <w:cols w:equalWidth="0" w:num="3">
            <w:col w:w="4760" w:space="160"/>
            <w:col w:w="940" w:space="140"/>
            <w:col w:w="4020"/>
          </w:cols>
          <w:pgMar w:left="920" w:top="309" w:right="959" w:bottom="1440" w:gutter="0" w:footer="0" w:header="0"/>
          <w:type w:val="continuous"/>
        </w:sectPr>
      </w:pPr>
    </w:p>
    <w:p>
      <w:pPr>
        <w:ind w:left="1980"/>
        <w:spacing w:after="0"/>
        <w:rPr>
          <w:sz w:val="20"/>
          <w:szCs w:val="20"/>
          <w:color w:val="auto"/>
        </w:rPr>
      </w:pPr>
      <w:r>
        <w:rPr>
          <w:rFonts w:ascii="Arial" w:cs="Arial" w:eastAsia="Arial" w:hAnsi="Arial"/>
          <w:sz w:val="19"/>
          <w:szCs w:val="19"/>
          <w:color w:val="auto"/>
        </w:rPr>
        <w:t>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63500</wp:posOffset>
            </wp:positionV>
            <wp:extent cx="55378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(904) 438-6000</w:t>
      </w:r>
    </w:p>
    <w:p>
      <w:pPr>
        <w:spacing w:after="0" w:line="146" w:lineRule="exact"/>
        <w:rPr>
          <w:sz w:val="24"/>
          <w:szCs w:val="24"/>
          <w:color w:val="auto"/>
        </w:rPr>
      </w:pPr>
    </w:p>
    <w:p>
      <w:pPr>
        <w:sectPr>
          <w:pgSz w:w="11900" w:h="16838" w:orient="portrait"/>
          <w:cols w:equalWidth="0" w:num="2">
            <w:col w:w="5980" w:space="720"/>
            <w:col w:w="3320"/>
          </w:cols>
          <w:pgMar w:left="920" w:top="309" w:right="959" w:bottom="1440" w:gutter="0" w:footer="0" w:header="0"/>
          <w:type w:val="continuous"/>
        </w:sectPr>
      </w:pPr>
    </w:p>
    <w:p>
      <w:pPr>
        <w:jc w:val="center"/>
        <w:ind w:left="960" w:right="920"/>
        <w:spacing w:after="0" w:line="250"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0.125% Senior Notes due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412750</wp:posOffset>
            </wp:positionH>
            <wp:positionV relativeFrom="paragraph">
              <wp:posOffset>15875</wp:posOffset>
            </wp:positionV>
            <wp:extent cx="55378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7835"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40"/>
        <w:spacing w:after="0" w:line="250"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8"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125" cy="111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80" w:right="1200" w:firstLine="54"/>
        <w:spacing w:after="0" w:line="292" w:lineRule="auto"/>
        <w:rPr>
          <w:sz w:val="20"/>
          <w:szCs w:val="20"/>
          <w:color w:val="auto"/>
        </w:rPr>
      </w:pPr>
      <w:r>
        <w:rPr>
          <w:sz w:val="1"/>
          <w:szCs w:val="1"/>
          <w:color w:val="auto"/>
        </w:rPr>
        <w:drawing>
          <wp:inline distT="0" distB="0" distL="0" distR="0">
            <wp:extent cx="111125" cy="111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r>
        <w:rPr>
          <w:rFonts w:ascii="Arial" w:cs="Arial" w:eastAsia="Arial" w:hAnsi="Arial"/>
          <w:sz w:val="32"/>
          <w:szCs w:val="32"/>
          <w:u w:val="single" w:color="auto"/>
          <w:color w:val="0000EE"/>
          <w:vertAlign w:val="superscript"/>
        </w:rPr>
        <w:t>1</w:t>
      </w:r>
    </w:p>
    <w:p>
      <w:pPr>
        <w:spacing w:after="0" w:line="1" w:lineRule="exact"/>
        <w:rPr>
          <w:sz w:val="24"/>
          <w:szCs w:val="24"/>
          <w:color w:val="auto"/>
        </w:rPr>
      </w:pPr>
    </w:p>
    <w:p>
      <w:pPr>
        <w:ind w:left="780" w:right="800" w:firstLine="54"/>
        <w:spacing w:after="0"/>
        <w:rPr>
          <w:sz w:val="20"/>
          <w:szCs w:val="20"/>
          <w:color w:val="auto"/>
        </w:rPr>
      </w:pPr>
      <w:r>
        <w:rPr>
          <w:sz w:val="1"/>
          <w:szCs w:val="1"/>
          <w:color w:val="auto"/>
        </w:rPr>
        <w:drawing>
          <wp:inline distT="0" distB="0" distL="0" distR="0">
            <wp:extent cx="111125" cy="111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125" cy="111125"/>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ind w:right="40"/>
        <w:spacing w:after="0" w:line="297" w:lineRule="auto"/>
        <w:rPr>
          <w:sz w:val="20"/>
          <w:szCs w:val="20"/>
          <w:color w:val="auto"/>
        </w:rPr>
      </w:pPr>
      <w:r>
        <w:rPr>
          <w:rFonts w:ascii="Arial" w:cs="Arial" w:eastAsia="Arial" w:hAnsi="Arial"/>
          <w:sz w:val="19"/>
          <w:szCs w:val="19"/>
          <w:color w:val="auto"/>
        </w:rPr>
        <w:t>Pursuant to the requirements fo the Securities Exchange Act of 1934, NEW YORK STOCK EXCHANGE LLC certifies that it has reasonable grounds to believe that it meets all of the requirements for filing the Form 25 and has caused this notification to be signed on its behalf by the undersigned duly authorized person.</w:t>
      </w:r>
    </w:p>
    <w:p>
      <w:pPr>
        <w:spacing w:after="0" w:line="2" w:lineRule="exact"/>
        <w:rPr>
          <w:sz w:val="24"/>
          <w:szCs w:val="24"/>
          <w:color w:val="auto"/>
        </w:rPr>
      </w:pPr>
    </w:p>
    <w:tbl>
      <w:tblPr>
        <w:tblLayout w:type="fixed"/>
        <w:tblInd w:w="640" w:type="dxa"/>
        <w:tblCellMar>
          <w:top w:w="0" w:type="dxa"/>
          <w:left w:w="0" w:type="dxa"/>
          <w:bottom w:w="0" w:type="dxa"/>
          <w:right w:w="0" w:type="dxa"/>
        </w:tblCellMar>
      </w:tblPr>
      <w:tr>
        <w:trPr>
          <w:trHeight w:val="253"/>
        </w:trPr>
        <w:tc>
          <w:tcPr>
            <w:tcW w:w="20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88"/>
              </w:rPr>
              <w:t>Manager, Market</w:t>
            </w:r>
          </w:p>
        </w:tc>
      </w:tr>
      <w:tr>
        <w:trPr>
          <w:trHeight w:val="243"/>
        </w:trPr>
        <w:tc>
          <w:tcPr>
            <w:tcW w:w="2060" w:type="dxa"/>
            <w:vAlign w:val="bottom"/>
          </w:tcPr>
          <w:p>
            <w:pPr>
              <w:spacing w:after="0"/>
              <w:rPr>
                <w:sz w:val="21"/>
                <w:szCs w:val="21"/>
                <w:color w:val="auto"/>
              </w:rPr>
            </w:pPr>
          </w:p>
        </w:tc>
        <w:tc>
          <w:tcPr>
            <w:tcW w:w="940" w:type="dxa"/>
            <w:vAlign w:val="bottom"/>
          </w:tcPr>
          <w:p>
            <w:pPr>
              <w:ind w:left="640"/>
              <w:spacing w:after="0" w:line="243" w:lineRule="exact"/>
              <w:rPr>
                <w:sz w:val="20"/>
                <w:szCs w:val="20"/>
                <w:color w:val="auto"/>
              </w:rPr>
            </w:pPr>
            <w:r>
              <w:rPr>
                <w:rFonts w:ascii="Arial" w:cs="Arial" w:eastAsia="Arial" w:hAnsi="Arial"/>
                <w:sz w:val="22"/>
                <w:szCs w:val="22"/>
                <w:color w:val="auto"/>
              </w:rPr>
              <w:t>By</w:t>
            </w: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tcPr>
          <w:p>
            <w:pPr>
              <w:jc w:val="center"/>
              <w:spacing w:after="0" w:line="243" w:lineRule="exact"/>
              <w:rPr>
                <w:sz w:val="20"/>
                <w:szCs w:val="20"/>
                <w:color w:val="auto"/>
              </w:rPr>
            </w:pPr>
            <w:r>
              <w:rPr>
                <w:rFonts w:ascii="Arial" w:cs="Arial" w:eastAsia="Arial" w:hAnsi="Arial"/>
                <w:sz w:val="22"/>
                <w:szCs w:val="22"/>
                <w:color w:val="auto"/>
                <w:w w:val="88"/>
              </w:rPr>
              <w:t>Watch and Proxy</w:t>
            </w:r>
          </w:p>
        </w:tc>
      </w:tr>
      <w:tr>
        <w:trPr>
          <w:trHeight w:val="276"/>
        </w:trPr>
        <w:tc>
          <w:tcPr>
            <w:tcW w:w="2060" w:type="dxa"/>
            <w:vAlign w:val="bottom"/>
            <w:tcBorders>
              <w:bottom w:val="single" w:sz="8" w:color="auto"/>
            </w:tcBorders>
          </w:tcPr>
          <w:p>
            <w:pPr>
              <w:jc w:val="right"/>
              <w:ind w:right="412"/>
              <w:spacing w:after="0"/>
              <w:rPr>
                <w:sz w:val="20"/>
                <w:szCs w:val="20"/>
                <w:color w:val="auto"/>
              </w:rPr>
            </w:pPr>
            <w:r>
              <w:rPr>
                <w:rFonts w:ascii="Arial" w:cs="Arial" w:eastAsia="Arial" w:hAnsi="Arial"/>
                <w:sz w:val="22"/>
                <w:szCs w:val="22"/>
                <w:color w:val="auto"/>
              </w:rPr>
              <w:t>2022-12-05</w:t>
            </w:r>
          </w:p>
        </w:tc>
        <w:tc>
          <w:tcPr>
            <w:tcW w:w="940" w:type="dxa"/>
            <w:vAlign w:val="bottom"/>
          </w:tcPr>
          <w:p>
            <w:pPr>
              <w:spacing w:after="0"/>
              <w:rPr>
                <w:sz w:val="24"/>
                <w:szCs w:val="24"/>
                <w:color w:val="auto"/>
              </w:rPr>
            </w:pPr>
          </w:p>
        </w:tc>
        <w:tc>
          <w:tcPr>
            <w:tcW w:w="3400" w:type="dxa"/>
            <w:vAlign w:val="bottom"/>
            <w:tcBorders>
              <w:bottom w:val="single" w:sz="8" w:color="auto"/>
            </w:tcBorders>
          </w:tcPr>
          <w:p>
            <w:pPr>
              <w:ind w:left="1080"/>
              <w:spacing w:after="0"/>
              <w:rPr>
                <w:sz w:val="20"/>
                <w:szCs w:val="20"/>
                <w:color w:val="auto"/>
              </w:rPr>
            </w:pPr>
            <w:r>
              <w:rPr>
                <w:rFonts w:ascii="Arial" w:cs="Arial" w:eastAsia="Arial" w:hAnsi="Arial"/>
                <w:sz w:val="22"/>
                <w:szCs w:val="22"/>
                <w:color w:val="auto"/>
              </w:rPr>
              <w:t>Victoria Paper</w:t>
            </w:r>
          </w:p>
        </w:tc>
        <w:tc>
          <w:tcPr>
            <w:tcW w:w="260" w:type="dxa"/>
            <w:vAlign w:val="bottom"/>
          </w:tcPr>
          <w:p>
            <w:pPr>
              <w:spacing w:after="0"/>
              <w:rPr>
                <w:sz w:val="24"/>
                <w:szCs w:val="2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Compliance</w:t>
            </w:r>
          </w:p>
        </w:tc>
      </w:tr>
      <w:tr>
        <w:trPr>
          <w:trHeight w:val="289"/>
        </w:trPr>
        <w:tc>
          <w:tcPr>
            <w:tcW w:w="3000" w:type="dxa"/>
            <w:vAlign w:val="bottom"/>
            <w:gridSpan w:val="2"/>
          </w:tcPr>
          <w:p>
            <w:pPr>
              <w:jc w:val="center"/>
              <w:ind w:right="812"/>
              <w:spacing w:after="0"/>
              <w:rPr>
                <w:sz w:val="20"/>
                <w:szCs w:val="20"/>
                <w:color w:val="auto"/>
              </w:rPr>
            </w:pPr>
            <w:r>
              <w:rPr>
                <w:rFonts w:ascii="Arial" w:cs="Arial" w:eastAsia="Arial" w:hAnsi="Arial"/>
                <w:sz w:val="22"/>
                <w:szCs w:val="22"/>
                <w:color w:val="auto"/>
                <w:w w:val="85"/>
              </w:rPr>
              <w:t>Date</w:t>
            </w:r>
          </w:p>
        </w:tc>
        <w:tc>
          <w:tcPr>
            <w:tcW w:w="340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8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60" w:right="900" w:hanging="597"/>
        <w:spacing w:after="0" w:line="250" w:lineRule="auto"/>
        <w:tabs>
          <w:tab w:leader="none" w:pos="126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3" w:lineRule="exact"/>
        <w:rPr>
          <w:sz w:val="24"/>
          <w:szCs w:val="24"/>
          <w:color w:val="auto"/>
        </w:rPr>
      </w:pPr>
    </w:p>
    <w:p>
      <w:pPr>
        <w:ind w:right="180"/>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20" w:top="309" w:right="959" w:bottom="1440" w:gutter="0" w:footer="0" w:header="0"/>
          <w:type w:val="continuous"/>
        </w:sectPr>
      </w:pPr>
    </w:p>
    <w:bookmarkStart w:id="1" w:name="page2"/>
    <w:bookmarkEnd w:id="1"/>
    <w:p>
      <w:pPr>
        <w:spacing w:after="0" w:line="273" w:lineRule="auto"/>
        <w:rPr>
          <w:sz w:val="20"/>
          <w:szCs w:val="20"/>
          <w:color w:val="auto"/>
        </w:rPr>
      </w:pPr>
      <w:r>
        <w:rPr>
          <w:rFonts w:ascii="Arial" w:cs="Arial" w:eastAsia="Arial" w:hAnsi="Arial"/>
          <w:sz w:val="19"/>
          <w:szCs w:val="19"/>
          <w:color w:val="auto"/>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December 16, 2022, pursuant to the provisions of Rule 12d2-2 (a). [ X</w:t>
      </w:r>
    </w:p>
    <w:p>
      <w:pPr>
        <w:spacing w:after="0" w:line="2" w:lineRule="exact"/>
        <w:rPr>
          <w:sz w:val="20"/>
          <w:szCs w:val="20"/>
          <w:color w:val="auto"/>
        </w:rPr>
      </w:pPr>
    </w:p>
    <w:p>
      <w:pPr>
        <w:jc w:val="both"/>
        <w:ind w:right="80" w:firstLine="8"/>
        <w:spacing w:after="0" w:line="234" w:lineRule="auto"/>
        <w:tabs>
          <w:tab w:leader="none" w:pos="126" w:val="left"/>
        </w:tabs>
        <w:numPr>
          <w:ilvl w:val="0"/>
          <w:numId w:val="2"/>
        </w:numPr>
        <w:rPr>
          <w:rFonts w:ascii="Arial" w:cs="Arial" w:eastAsia="Arial" w:hAnsi="Arial"/>
          <w:sz w:val="22"/>
          <w:szCs w:val="22"/>
          <w:color w:val="auto"/>
        </w:rPr>
      </w:pPr>
      <w:r>
        <w:rPr>
          <w:rFonts w:ascii="Arial" w:cs="Arial" w:eastAsia="Arial" w:hAnsi="Arial"/>
          <w:sz w:val="22"/>
          <w:szCs w:val="22"/>
          <w:color w:val="auto"/>
        </w:rPr>
        <w:t>17 CFR 240.12d2-2(a)(2) That the entire class of this security was redeemed or paid at maturity or retirement on December 03, 2022. The Exchange also notifies the Securities and Exchange Commission that as a result of the above indicated conditions this security was suspended from trading before market open on December 05, 2022.</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16427" TargetMode="External"/><Relationship Id="rId10" Type="http://schemas.openxmlformats.org/officeDocument/2006/relationships/hyperlink" Target="http://www.sec.gov/cgi-bin/browse-edgar?action=getcompany&amp;CIK=0001136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2022-12-05T15:17:31Z</dcterms:created>
  <dcterms:modified xsi:type="dcterms:W3CDTF">2022-12-05T15:17:31Z</dcterms:modified>
</cp:coreProperties>
</file>