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4"/>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3"/>
              </w:rPr>
              <w:t>UNITED STATES</w:t>
            </w:r>
          </w:p>
        </w:tc>
        <w:tc>
          <w:tcPr>
            <w:tcW w:w="1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80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5"/>
              </w:rPr>
              <w:t>SECURITIES AND EXCHANGE COMMISSION</w:t>
            </w:r>
          </w:p>
        </w:tc>
        <w:tc>
          <w:tcPr>
            <w:tcW w:w="184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80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440" w:type="dxa"/>
            <w:vAlign w:val="bottom"/>
            <w:gridSpan w:val="2"/>
            <w:vMerge w:val="restart"/>
          </w:tcPr>
          <w:p>
            <w:pPr>
              <w:jc w:val="center"/>
              <w:ind w:right="1020"/>
              <w:spacing w:after="0"/>
              <w:rPr>
                <w:sz w:val="20"/>
                <w:szCs w:val="20"/>
                <w:color w:val="auto"/>
              </w:rPr>
            </w:pPr>
            <w:r>
              <w:rPr>
                <w:rFonts w:ascii="Arial" w:cs="Arial" w:eastAsia="Arial" w:hAnsi="Arial"/>
                <w:sz w:val="22"/>
                <w:szCs w:val="22"/>
                <w:color w:val="auto"/>
                <w:w w:val="89"/>
              </w:rPr>
              <w:t>Washington, D.C. 20549</w:t>
            </w:r>
          </w:p>
        </w:tc>
        <w:tc>
          <w:tcPr>
            <w:tcW w:w="1840" w:type="dxa"/>
            <w:vAlign w:val="bottom"/>
          </w:tcPr>
          <w:p>
            <w:pPr>
              <w:ind w:left="60"/>
              <w:spacing w:after="0"/>
              <w:rPr>
                <w:sz w:val="20"/>
                <w:szCs w:val="20"/>
                <w:color w:val="auto"/>
              </w:rPr>
            </w:pPr>
            <w:r>
              <w:rPr>
                <w:rFonts w:ascii="Arial" w:cs="Arial" w:eastAsia="Arial" w:hAnsi="Arial"/>
                <w:sz w:val="22"/>
                <w:szCs w:val="22"/>
                <w:color w:val="auto"/>
              </w:rPr>
              <w:t>Expires:</w:t>
            </w:r>
          </w:p>
        </w:tc>
        <w:tc>
          <w:tcPr>
            <w:tcW w:w="1800" w:type="dxa"/>
            <w:vAlign w:val="bottom"/>
          </w:tcPr>
          <w:p>
            <w:pPr>
              <w:ind w:left="12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4"/>
              </w:rPr>
              <w:t>FORM 25</w:t>
            </w:r>
          </w:p>
        </w:tc>
        <w:tc>
          <w:tcPr>
            <w:tcW w:w="184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89"/>
              </w:rPr>
              <w:t>hours per response:</w:t>
            </w:r>
          </w:p>
        </w:tc>
        <w:tc>
          <w:tcPr>
            <w:tcW w:w="180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4578350</wp:posOffset>
            </wp:positionH>
            <wp:positionV relativeFrom="page">
              <wp:posOffset>170815</wp:posOffset>
            </wp:positionV>
            <wp:extent cx="2392045" cy="1089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2045" cy="1089025"/>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4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398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001-33747</w:t>
        </w:r>
      </w:hyperlink>
    </w:p>
    <w:p>
      <w:pPr>
        <w:spacing w:after="0" w:line="125" w:lineRule="exact"/>
        <w:rPr>
          <w:sz w:val="24"/>
          <w:szCs w:val="24"/>
          <w:color w:val="auto"/>
        </w:rPr>
      </w:pPr>
    </w:p>
    <w:p>
      <w:pPr>
        <w:ind w:left="2720"/>
        <w:spacing w:after="0"/>
        <w:tabs>
          <w:tab w:leader="none" w:pos="368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Metavante Technologies, Inc.</w:t>
        </w:r>
      </w:hyperlink>
    </w:p>
    <w:p>
      <w:pPr>
        <w:spacing w:after="0" w:line="44" w:lineRule="exact"/>
        <w:rPr>
          <w:sz w:val="24"/>
          <w:szCs w:val="24"/>
          <w:color w:val="auto"/>
        </w:rPr>
      </w:pPr>
    </w:p>
    <w:p>
      <w:pPr>
        <w:ind w:left="2720"/>
        <w:spacing w:after="0"/>
        <w:rPr>
          <w:sz w:val="20"/>
          <w:szCs w:val="20"/>
          <w:color w:val="auto"/>
        </w:rPr>
      </w:pPr>
      <w:r>
        <w:rPr>
          <w:rFonts w:ascii="Arial" w:cs="Arial" w:eastAsia="Arial" w:hAnsi="Arial"/>
          <w:sz w:val="22"/>
          <w:szCs w:val="22"/>
          <w:color w:val="auto"/>
        </w:rPr>
        <w:t>Exchange: NEW YORK STOCK EXCHANGE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41910</wp:posOffset>
            </wp:positionV>
            <wp:extent cx="55397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2660"/>
        <w:spacing w:after="0"/>
        <w:rPr>
          <w:sz w:val="20"/>
          <w:szCs w:val="20"/>
          <w:color w:val="auto"/>
        </w:rPr>
      </w:pPr>
      <w:r>
        <w:rPr>
          <w:rFonts w:ascii="Arial" w:cs="Arial" w:eastAsia="Arial" w:hAnsi="Arial"/>
          <w:sz w:val="22"/>
          <w:szCs w:val="22"/>
          <w:color w:val="auto"/>
        </w:rPr>
        <w:t>Address: 4900 West Brown Deer Road</w:t>
      </w:r>
    </w:p>
    <w:p>
      <w:pPr>
        <w:spacing w:after="0" w:line="44" w:lineRule="exact"/>
        <w:rPr>
          <w:sz w:val="24"/>
          <w:szCs w:val="24"/>
          <w:color w:val="auto"/>
        </w:rPr>
      </w:pPr>
    </w:p>
    <w:p>
      <w:pPr>
        <w:ind w:left="3480"/>
        <w:spacing w:after="0"/>
        <w:rPr>
          <w:sz w:val="20"/>
          <w:szCs w:val="20"/>
          <w:color w:val="auto"/>
        </w:rPr>
      </w:pPr>
      <w:r>
        <w:rPr>
          <w:rFonts w:ascii="Arial" w:cs="Arial" w:eastAsia="Arial" w:hAnsi="Arial"/>
          <w:sz w:val="22"/>
          <w:szCs w:val="22"/>
          <w:color w:val="auto"/>
        </w:rPr>
        <w:t>Milwaukee WISCONSIN 53223-2422</w:t>
      </w:r>
    </w:p>
    <w:p>
      <w:pPr>
        <w:spacing w:after="0" w:line="44" w:lineRule="exact"/>
        <w:rPr>
          <w:sz w:val="24"/>
          <w:szCs w:val="24"/>
          <w:color w:val="auto"/>
        </w:rPr>
      </w:pPr>
    </w:p>
    <w:tbl>
      <w:tblPr>
        <w:tblLayout w:type="fixed"/>
        <w:tblInd w:w="1760" w:type="dxa"/>
        <w:tblCellMar>
          <w:top w:w="0" w:type="dxa"/>
          <w:left w:w="0" w:type="dxa"/>
          <w:bottom w:w="0" w:type="dxa"/>
          <w:right w:w="0" w:type="dxa"/>
        </w:tblCellMar>
      </w:tblPr>
      <w:tr>
        <w:trPr>
          <w:trHeight w:val="275"/>
        </w:trPr>
        <w:tc>
          <w:tcPr>
            <w:tcW w:w="3400" w:type="dxa"/>
            <w:vAlign w:val="bottom"/>
          </w:tcPr>
          <w:p>
            <w:pPr>
              <w:spacing w:after="0"/>
              <w:rPr>
                <w:sz w:val="20"/>
                <w:szCs w:val="20"/>
                <w:color w:val="auto"/>
              </w:rPr>
            </w:pPr>
            <w:r>
              <w:rPr>
                <w:rFonts w:ascii="Arial" w:cs="Arial" w:eastAsia="Arial" w:hAnsi="Arial"/>
                <w:sz w:val="22"/>
                <w:szCs w:val="22"/>
                <w:color w:val="auto"/>
              </w:rPr>
              <w:t>Telephone number:</w:t>
            </w:r>
          </w:p>
        </w:tc>
        <w:tc>
          <w:tcPr>
            <w:tcW w:w="3080" w:type="dxa"/>
            <w:vAlign w:val="bottom"/>
          </w:tcPr>
          <w:p>
            <w:pPr>
              <w:jc w:val="right"/>
              <w:spacing w:after="0"/>
              <w:rPr>
                <w:sz w:val="20"/>
                <w:szCs w:val="20"/>
                <w:color w:val="auto"/>
              </w:rPr>
            </w:pPr>
            <w:r>
              <w:rPr>
                <w:rFonts w:ascii="Arial" w:cs="Arial" w:eastAsia="Arial" w:hAnsi="Arial"/>
                <w:sz w:val="22"/>
                <w:szCs w:val="22"/>
                <w:color w:val="auto"/>
              </w:rPr>
              <w:t>(414) 357-2290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27940</wp:posOffset>
            </wp:positionV>
            <wp:extent cx="55397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70" w:lineRule="exact"/>
        <w:rPr>
          <w:sz w:val="24"/>
          <w:szCs w:val="24"/>
          <w:color w:val="auto"/>
        </w:rPr>
      </w:pPr>
    </w:p>
    <w:p>
      <w:pPr>
        <w:jc w:val="center"/>
        <w:ind w:right="20"/>
        <w:spacing w:after="0" w:line="251"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15875</wp:posOffset>
            </wp:positionV>
            <wp:extent cx="55397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7"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60" w:right="1200" w:firstLine="61"/>
        <w:spacing w:after="0" w:line="287" w:lineRule="auto"/>
        <w:rPr>
          <w:rFonts w:ascii="Arial" w:cs="Arial" w:eastAsia="Arial" w:hAnsi="Arial"/>
          <w:sz w:val="20"/>
          <w:szCs w:val="20"/>
          <w:color w:val="auto"/>
        </w:rPr>
      </w:pPr>
      <w:r>
        <w:rPr>
          <w:sz w:val="1"/>
          <w:szCs w:val="1"/>
          <w:color w:val="auto"/>
        </w:rPr>
        <w:drawing>
          <wp:inline distT="0" distB="0" distL="0" distR="0">
            <wp:extent cx="111760"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3"/>
            <w:szCs w:val="33"/>
            <w:u w:val="single" w:color="auto"/>
            <w:color w:val="0000EE"/>
            <w:vertAlign w:val="superscript"/>
          </w:rPr>
          <w:t>1</w:t>
        </w:r>
      </w:hyperlink>
    </w:p>
    <w:p>
      <w:pPr>
        <w:spacing w:after="0" w:line="1" w:lineRule="exact"/>
        <w:rPr>
          <w:sz w:val="24"/>
          <w:szCs w:val="24"/>
          <w:color w:val="auto"/>
        </w:rPr>
      </w:pPr>
    </w:p>
    <w:p>
      <w:pPr>
        <w:ind w:left="760" w:right="800" w:firstLine="61"/>
        <w:spacing w:after="0"/>
        <w:rPr>
          <w:sz w:val="20"/>
          <w:szCs w:val="20"/>
          <w:color w:val="auto"/>
        </w:rPr>
      </w:pPr>
      <w:r>
        <w:rPr>
          <w:sz w:val="1"/>
          <w:szCs w:val="1"/>
          <w:color w:val="auto"/>
        </w:rPr>
        <w:drawing>
          <wp:inline distT="0" distB="0" distL="0" distR="0">
            <wp:extent cx="111760" cy="1117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ind w:right="60"/>
        <w:spacing w:after="0" w:line="297" w:lineRule="auto"/>
        <w:rPr>
          <w:sz w:val="20"/>
          <w:szCs w:val="20"/>
          <w:color w:val="auto"/>
        </w:rPr>
      </w:pPr>
      <w:r>
        <w:rPr>
          <w:rFonts w:ascii="Arial" w:cs="Arial" w:eastAsia="Arial" w:hAnsi="Arial"/>
          <w:sz w:val="19"/>
          <w:szCs w:val="19"/>
          <w:color w:val="auto"/>
        </w:rPr>
        <w:t>Pursuant to the requirements fo the Securities Exchange Act of 1934, NEW YORK STOCK EXCHANGE INC certifies that it has reasonable grounds to believe that it meets all of the requirements for filing the Form 25 and has caused this notification to be signed on its behalf by the undersigned duly authorized person.</w:t>
      </w:r>
    </w:p>
    <w:p>
      <w:pPr>
        <w:spacing w:after="0" w:line="13"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2009-10-02</w:t>
            </w:r>
          </w:p>
        </w:tc>
        <w:tc>
          <w:tcPr>
            <w:tcW w:w="920" w:type="dxa"/>
            <w:vAlign w:val="bottom"/>
          </w:tcPr>
          <w:p>
            <w:pPr>
              <w:ind w:left="640"/>
              <w:spacing w:after="0"/>
              <w:rPr>
                <w:sz w:val="20"/>
                <w:szCs w:val="20"/>
                <w:color w:val="auto"/>
              </w:rPr>
            </w:pPr>
            <w:r>
              <w:rPr>
                <w:rFonts w:ascii="Arial" w:cs="Arial" w:eastAsia="Arial" w:hAnsi="Arial"/>
                <w:sz w:val="22"/>
                <w:szCs w:val="22"/>
                <w:color w:val="auto"/>
              </w:rPr>
              <w:t>By</w:t>
            </w:r>
          </w:p>
        </w:tc>
        <w:tc>
          <w:tcPr>
            <w:tcW w:w="3420" w:type="dxa"/>
            <w:vAlign w:val="bottom"/>
            <w:tcBorders>
              <w:bottom w:val="single" w:sz="8" w:color="auto"/>
            </w:tcBorders>
          </w:tcPr>
          <w:p>
            <w:pPr>
              <w:ind w:left="1060"/>
              <w:spacing w:after="0"/>
              <w:rPr>
                <w:sz w:val="20"/>
                <w:szCs w:val="20"/>
                <w:color w:val="auto"/>
              </w:rPr>
            </w:pPr>
            <w:r>
              <w:rPr>
                <w:rFonts w:ascii="Arial" w:cs="Arial" w:eastAsia="Arial" w:hAnsi="Arial"/>
                <w:sz w:val="22"/>
                <w:szCs w:val="22"/>
                <w:color w:val="auto"/>
              </w:rPr>
              <w:t>Edwin Mecabe</w:t>
            </w:r>
          </w:p>
        </w:tc>
        <w:tc>
          <w:tcPr>
            <w:tcW w:w="26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3"/>
              </w:rPr>
              <w:t>Director</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20" w:type="dxa"/>
            <w:vAlign w:val="bottom"/>
          </w:tcPr>
          <w:p>
            <w:pPr>
              <w:spacing w:after="0"/>
              <w:rPr>
                <w:sz w:val="24"/>
                <w:szCs w:val="24"/>
                <w:color w:val="auto"/>
              </w:rPr>
            </w:pPr>
          </w:p>
        </w:tc>
        <w:tc>
          <w:tcPr>
            <w:tcW w:w="342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40" w:right="900" w:hanging="588"/>
        <w:spacing w:after="0" w:line="251"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2" w:lineRule="exact"/>
        <w:rPr>
          <w:sz w:val="24"/>
          <w:szCs w:val="24"/>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40" w:top="309" w:right="939" w:bottom="1440" w:gutter="0" w:footer="0" w:header="0"/>
        </w:sectPr>
      </w:pPr>
    </w:p>
    <w:bookmarkStart w:id="1" w:name="page2"/>
    <w:bookmarkEnd w:id="1"/>
    <w:p>
      <w:pPr>
        <w:spacing w:after="0" w:line="245" w:lineRule="auto"/>
        <w:rPr>
          <w:sz w:val="20"/>
          <w:szCs w:val="20"/>
          <w:color w:val="auto"/>
        </w:rPr>
      </w:pPr>
      <w:r>
        <w:rPr>
          <w:rFonts w:ascii="Arial" w:cs="Arial" w:eastAsia="Arial" w:hAnsi="Arial"/>
          <w:sz w:val="21"/>
          <w:szCs w:val="21"/>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October 12, 2009, pursuant to the provisions of Rule 12d2-2 (a). [ X ] 17 CFR 240.12d2-2(a)(3) That on October 1, 2009 the instruments representing the securities comprising the entire class of this security came to evidence, by operation of law or otherwise, other securities in substitution therefore and represent no other right except, if such be the fact, the right to receive an immediate cash payment. The merger between Metavante Technologies, Inc. and Fidelity National Information Services, Inc. became effective on October 1, 2009. Each share of Common Stock of Metavante Technologies, Inc. was converted for 1.35 shares of Fidelity National Information Services, Inc. Common Stock. The Exchange also notifies the Securities and Exchange Commission that as a result of the above indicated conditions this security was suspended from trading on October 2, 2009.</w:t>
      </w:r>
    </w:p>
    <w:sectPr>
      <w:pgSz w:w="11900" w:h="16838" w:orient="portrait"/>
      <w:cols w:equalWidth="0" w:num="1">
        <w:col w:w="11400"/>
      </w:cols>
      <w:pgMar w:left="240" w:top="11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33747" TargetMode="External"/><Relationship Id="rId10" Type="http://schemas.openxmlformats.org/officeDocument/2006/relationships/hyperlink" Target="http://www.sec.gov/cgi-bin/browse-edgar?action=getcompany&amp;CIK=1399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2019-12-11T04:09:46Z</dcterms:created>
  <dcterms:modified xsi:type="dcterms:W3CDTF">2019-12-11T04:09:46Z</dcterms:modified>
</cp:coreProperties>
</file>