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252095</wp:posOffset>
            </wp:positionH>
            <wp:positionV relativeFrom="page">
              <wp:posOffset>534670</wp:posOffset>
            </wp:positionV>
            <wp:extent cx="705802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2603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-152400</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Pursuant to Section 13 or 15(d) 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Report (date of earliest event reported):</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August 8, 2019</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Fidelity National Information Services, Inc.</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1-16427</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2089150</wp:posOffset>
            </wp:positionH>
            <wp:positionV relativeFrom="paragraph">
              <wp:posOffset>167640</wp:posOffset>
            </wp:positionV>
            <wp:extent cx="3215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3460"/>
        <w:spacing w:after="0"/>
        <w:rPr>
          <w:sz w:val="20"/>
          <w:szCs w:val="20"/>
          <w:color w:val="auto"/>
        </w:rPr>
      </w:pPr>
      <w:r>
        <w:rPr>
          <w:rFonts w:ascii="Arial" w:cs="Arial" w:eastAsia="Arial" w:hAnsi="Arial"/>
          <w:sz w:val="12"/>
          <w:szCs w:val="12"/>
          <w:color w:val="auto"/>
        </w:rPr>
        <w:t>Georgia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37-1490331</w:t>
      </w:r>
    </w:p>
    <w:p>
      <w:pPr>
        <w:spacing w:after="0" w:line="53" w:lineRule="exact"/>
        <w:rPr>
          <w:sz w:val="24"/>
          <w:szCs w:val="24"/>
          <w:color w:val="auto"/>
        </w:rPr>
      </w:pPr>
    </w:p>
    <w:p>
      <w:pPr>
        <w:sectPr>
          <w:pgSz w:w="11900" w:h="16838" w:orient="portrait"/>
          <w:cols w:equalWidth="0" w:num="2">
            <w:col w:w="7640" w:space="720"/>
            <w:col w:w="3060"/>
          </w:cols>
          <w:pgMar w:left="240" w:top="1003" w:right="239" w:bottom="1440" w:gutter="0" w:footer="0" w:header="0"/>
          <w:type w:val="continuous"/>
        </w:sectPr>
      </w:pPr>
    </w:p>
    <w:p>
      <w:pPr>
        <w:ind w:left="19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1" w:lineRule="exact"/>
        <w:rPr>
          <w:sz w:val="24"/>
          <w:szCs w:val="24"/>
          <w:color w:val="auto"/>
        </w:rPr>
      </w:pPr>
    </w:p>
    <w:p>
      <w:pPr>
        <w:ind w:left="5080"/>
        <w:spacing w:after="0"/>
        <w:rPr>
          <w:sz w:val="20"/>
          <w:szCs w:val="20"/>
          <w:color w:val="auto"/>
        </w:rPr>
      </w:pPr>
      <w:r>
        <w:rPr>
          <w:rFonts w:ascii="Arial" w:cs="Arial" w:eastAsia="Arial" w:hAnsi="Arial"/>
          <w:sz w:val="14"/>
          <w:szCs w:val="14"/>
          <w:color w:val="auto"/>
        </w:rPr>
        <w:t>601 Riverside Avenue</w:t>
      </w:r>
    </w:p>
    <w:p>
      <w:pPr>
        <w:spacing w:after="0" w:line="6" w:lineRule="exact"/>
        <w:rPr>
          <w:sz w:val="24"/>
          <w:szCs w:val="24"/>
          <w:color w:val="auto"/>
        </w:rPr>
      </w:pPr>
    </w:p>
    <w:p>
      <w:pPr>
        <w:ind w:left="4920"/>
        <w:spacing w:after="0"/>
        <w:rPr>
          <w:sz w:val="20"/>
          <w:szCs w:val="20"/>
          <w:color w:val="auto"/>
        </w:rPr>
      </w:pPr>
      <w:r>
        <w:rPr>
          <w:rFonts w:ascii="Arial" w:cs="Arial" w:eastAsia="Arial" w:hAnsi="Arial"/>
          <w:sz w:val="14"/>
          <w:szCs w:val="14"/>
          <w:color w:val="auto"/>
        </w:rPr>
        <w:t>Jacksonville, Florida 32204</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13"/>
          <w:szCs w:val="13"/>
          <w:color w:val="auto"/>
        </w:rPr>
        <w:t>(Addresses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Number)</w:t>
      </w:r>
    </w:p>
    <w:p>
      <w:pPr>
        <w:spacing w:after="0" w:line="674" w:lineRule="exact"/>
        <w:rPr>
          <w:sz w:val="24"/>
          <w:szCs w:val="24"/>
          <w:color w:val="auto"/>
        </w:rPr>
      </w:pPr>
    </w:p>
    <w:p>
      <w:pPr>
        <w:sectPr>
          <w:pgSz w:w="11900" w:h="16838" w:orient="portrait"/>
          <w:cols w:equalWidth="0" w:num="2">
            <w:col w:w="6940" w:space="640"/>
            <w:col w:w="3840"/>
          </w:cols>
          <w:pgMar w:left="240" w:top="1003" w:right="23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(904) 438-6000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51" w:lineRule="exact"/>
        <w:rPr>
          <w:sz w:val="24"/>
          <w:szCs w:val="24"/>
          <w:color w:val="auto"/>
        </w:rPr>
      </w:pPr>
    </w:p>
    <w:p>
      <w:pPr>
        <w:ind w:left="4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310" w:lineRule="exact"/>
        <w:rPr>
          <w:sz w:val="24"/>
          <w:szCs w:val="24"/>
          <w:color w:val="auto"/>
        </w:rPr>
      </w:pPr>
    </w:p>
    <w:p>
      <w:pPr>
        <w:ind w:left="960" w:hanging="925"/>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Written communications pursuant to Rule 425 under the Securities Act (17 CFR 230.425)</w:t>
      </w:r>
    </w:p>
    <w:p>
      <w:pPr>
        <w:spacing w:after="0" w:line="288" w:lineRule="exact"/>
        <w:rPr>
          <w:rFonts w:ascii="MS PGothic" w:cs="MS PGothic" w:eastAsia="MS PGothic" w:hAnsi="MS PGothic"/>
          <w:sz w:val="18"/>
          <w:szCs w:val="18"/>
          <w:color w:val="auto"/>
        </w:rPr>
      </w:pPr>
    </w:p>
    <w:p>
      <w:pPr>
        <w:ind w:left="960" w:hanging="925"/>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Rule 14a-12 under the Exchange Act (17 CFR 240.14a-12)</w:t>
      </w:r>
    </w:p>
    <w:p>
      <w:pPr>
        <w:spacing w:after="0" w:line="288" w:lineRule="exact"/>
        <w:rPr>
          <w:rFonts w:ascii="MS PGothic" w:cs="MS PGothic" w:eastAsia="MS PGothic" w:hAnsi="MS PGothic"/>
          <w:sz w:val="18"/>
          <w:szCs w:val="18"/>
          <w:color w:val="auto"/>
        </w:rPr>
      </w:pPr>
    </w:p>
    <w:p>
      <w:pPr>
        <w:ind w:left="960" w:hanging="925"/>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Pre-commencement communications pursuant to Rule 14d-2(b) under the Exchange Act (17 CFR 240.14d-2(b))</w:t>
      </w:r>
    </w:p>
    <w:p>
      <w:pPr>
        <w:spacing w:after="0" w:line="290" w:lineRule="exact"/>
        <w:rPr>
          <w:rFonts w:ascii="MS PGothic" w:cs="MS PGothic" w:eastAsia="MS PGothic" w:hAnsi="MS PGothic"/>
          <w:sz w:val="18"/>
          <w:szCs w:val="18"/>
          <w:color w:val="auto"/>
        </w:rPr>
      </w:pPr>
    </w:p>
    <w:p>
      <w:pPr>
        <w:ind w:left="40" w:right="4040" w:hanging="5"/>
        <w:spacing w:after="0" w:line="500" w:lineRule="auto"/>
        <w:tabs>
          <w:tab w:leader="none" w:pos="958"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Trading</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76"/>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40" w:type="dxa"/>
            <w:vAlign w:val="bottom"/>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22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44"/>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FIS</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0.400% Senior Notes due 2021</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FIS21A</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Floating Rate Senior Notes due 2021</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FIS21B</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0.125% Senior Notes due 2021</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FIS21C</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1.700% Senior Notes due 2022</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FIS22B</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0.750% Senior Notes due 2023</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FIS23A</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1.100% Senior Notes due 2024</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FIS24A</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2.602% Senior Notes due 2025</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FIS25A</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1.500% Senior Notes due 2027</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FIS27</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2.000% Senior Notes due 2030</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FIS30</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3.360% Senior Notes due 2031</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FIS31</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r>
        <w:trPr>
          <w:trHeight w:val="270"/>
        </w:trPr>
        <w:tc>
          <w:tcPr>
            <w:tcW w:w="4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2.950% Senior Notes due 2039</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FIS39</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r>
    </w:tbl>
    <w:p>
      <w:pPr>
        <w:spacing w:after="0" w:line="218"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8"/>
          <w:szCs w:val="18"/>
          <w:color w:val="auto"/>
        </w:rPr>
        <w:t>☐</w:t>
      </w:r>
    </w:p>
    <w:p>
      <w:pPr>
        <w:spacing w:after="0" w:line="262" w:lineRule="exact"/>
        <w:rPr>
          <w:sz w:val="24"/>
          <w:szCs w:val="24"/>
          <w:color w:val="auto"/>
        </w:rPr>
      </w:pPr>
    </w:p>
    <w:p>
      <w:pPr>
        <w:ind w:right="160"/>
        <w:spacing w:after="0" w:line="275"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158750</wp:posOffset>
            </wp:positionV>
            <wp:extent cx="705802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8025" cy="2603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73025</wp:posOffset>
            </wp:positionV>
            <wp:extent cx="7058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type w:val="continuous"/>
        </w:sectPr>
      </w:pPr>
    </w:p>
    <w:bookmarkStart w:id="1" w:name="page2"/>
    <w:bookmarkEnd w:id="1"/>
    <w:p>
      <w:pPr>
        <w:ind w:right="1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Effective August 8, 2019, the Board of Directors of Fidelity National Information Services, Inc. (the “Company”) appointed Christopher Thompson as the Company’s Chief Accounting Officer. Mr. Thompson, age 56, served as the Chief Accounting Officer of Worldpay, Inc. (“Worldpay”) since 2014, and was the Senior Vice President and Controller of Worldpay from 2010 to 2014. Prior to joining Worldpay, Mr. Thompson was a Partner at Deloitte and Touche LLP. Mr. Thompson holds a bachelor’s degree in accounting from the State University of New York and is a licensed certified public accountant.</w:t>
      </w:r>
    </w:p>
    <w:p>
      <w:pPr>
        <w:spacing w:after="0" w:line="15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There are no arrangements or undertakings pursuant to which Mr. Thompson was selected as Chief Accounting Officer. There are no family relationships among any of the Company’s directors or executive officers and Mr. Thompson. There are no related party transactions between the Company and Mr. Thompson.</w:t>
      </w:r>
    </w:p>
    <w:p>
      <w:pPr>
        <w:spacing w:after="0" w:line="18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Katy Thompson, former Chief Accounting Officer for the Company (and no relation to Christopher Thompson), will be assuming a new role with the Company as the Finance Operations Officer. In this role, Ms. Thompson will lead the Company’s shared financial services function for our day-to-day enterprise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ectPr>
          <w:pgSz w:w="11900" w:h="16838" w:orient="portrait"/>
          <w:cols w:equalWidth="0" w:num="1">
            <w:col w:w="11160"/>
          </w:cols>
          <w:pgMar w:left="240" w:top="580" w:right="4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Exhibit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90" w:lineRule="exact"/>
        <w:rPr>
          <w:sz w:val="20"/>
          <w:szCs w:val="20"/>
          <w:color w:val="auto"/>
        </w:rPr>
      </w:pPr>
    </w:p>
    <w:p>
      <w:pPr>
        <w:sectPr>
          <w:pgSz w:w="11900" w:h="16838" w:orient="portrait"/>
          <w:cols w:equalWidth="0" w:num="2">
            <w:col w:w="5120" w:space="720"/>
            <w:col w:w="5320"/>
          </w:cols>
          <w:pgMar w:left="240" w:top="580" w:right="499" w:bottom="1440" w:gutter="0" w:footer="0" w:header="0"/>
          <w:type w:val="continuous"/>
        </w:sectPr>
      </w:pPr>
    </w:p>
    <w:p>
      <w:pPr>
        <w:ind w:left="40"/>
        <w:spacing w:after="0"/>
        <w:tabs>
          <w:tab w:leader="none" w:pos="11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Cover Page Interactive Data File - the cover page XBRL tags are embedded within the Inline XBRL document.</w:t>
      </w:r>
    </w:p>
    <w:p>
      <w:pPr>
        <w:sectPr>
          <w:pgSz w:w="11900" w:h="16838" w:orient="portrait"/>
          <w:cols w:equalWidth="0" w:num="1">
            <w:col w:w="11160"/>
          </w:cols>
          <w:pgMar w:left="240" w:top="580" w:right="499" w:bottom="1440" w:gutter="0" w:footer="0" w:header="0"/>
          <w:type w:val="continuous"/>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Fidelity National Information Services, Inc.</w:t>
      </w:r>
    </w:p>
    <w:p>
      <w:pPr>
        <w:spacing w:after="0" w:line="63" w:lineRule="exact"/>
        <w:rPr>
          <w:sz w:val="20"/>
          <w:szCs w:val="20"/>
          <w:color w:val="auto"/>
        </w:rPr>
      </w:pPr>
    </w:p>
    <w:p>
      <w:pPr>
        <w:ind w:left="40"/>
        <w:spacing w:after="0"/>
        <w:tabs>
          <w:tab w:leader="none" w:pos="4940" w:val="left"/>
          <w:tab w:leader="none" w:pos="5520" w:val="left"/>
        </w:tabs>
        <w:rPr>
          <w:sz w:val="20"/>
          <w:szCs w:val="20"/>
          <w:color w:val="auto"/>
        </w:rPr>
      </w:pPr>
      <w:r>
        <w:rPr>
          <w:rFonts w:ascii="Arial" w:cs="Arial" w:eastAsia="Arial" w:hAnsi="Arial"/>
          <w:sz w:val="18"/>
          <w:szCs w:val="18"/>
          <w:color w:val="auto"/>
        </w:rPr>
        <w:t>Date: August 14,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M. Mayo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ectPr>
          <w:pgSz w:w="11900" w:h="16838" w:orient="portrait"/>
          <w:cols w:equalWidth="0" w:num="1">
            <w:col w:w="10520"/>
          </w:cols>
          <w:pgMar w:left="240" w:top="1134" w:right="1139" w:bottom="1440" w:gutter="0" w:footer="0" w:header="0"/>
        </w:sectPr>
      </w:pPr>
    </w:p>
    <w:p>
      <w:pPr>
        <w:spacing w:after="0" w:line="7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Marc M. Mayo</w:t>
      </w:r>
    </w:p>
    <w:p>
      <w:pPr>
        <w:spacing w:after="0" w:line="75" w:lineRule="exact"/>
        <w:rPr>
          <w:sz w:val="20"/>
          <w:szCs w:val="20"/>
          <w:color w:val="auto"/>
        </w:rPr>
      </w:pPr>
    </w:p>
    <w:p>
      <w:pPr>
        <w:sectPr>
          <w:pgSz w:w="11900" w:h="16838" w:orient="portrait"/>
          <w:cols w:equalWidth="0" w:num="2">
            <w:col w:w="6020" w:space="300"/>
            <w:col w:w="4200"/>
          </w:cols>
          <w:pgMar w:left="240" w:top="1134" w:right="1139" w:bottom="1440" w:gutter="0" w:footer="0" w:header="0"/>
          <w:type w:val="continuous"/>
        </w:sectPr>
      </w:pPr>
    </w:p>
    <w:p>
      <w:pPr>
        <w:ind w:left="55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860"/>
        <w:spacing w:after="0" w:line="277" w:lineRule="auto"/>
        <w:rPr>
          <w:sz w:val="20"/>
          <w:szCs w:val="20"/>
          <w:color w:val="auto"/>
        </w:rPr>
      </w:pPr>
      <w:r>
        <w:rPr>
          <w:rFonts w:ascii="Arial" w:cs="Arial" w:eastAsia="Arial" w:hAnsi="Arial"/>
          <w:sz w:val="18"/>
          <w:szCs w:val="18"/>
          <w:color w:val="auto"/>
        </w:rPr>
        <w:t>Corporate Executive Vice President and Chief Legal Officer</w:t>
      </w:r>
    </w:p>
    <w:sectPr>
      <w:pgSz w:w="11900" w:h="16838" w:orient="portrait"/>
      <w:cols w:equalWidth="0" w:num="2">
        <w:col w:w="5920" w:space="400"/>
        <w:col w:w="4200"/>
      </w:cols>
      <w:pgMar w:left="240" w:top="1134" w:right="1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2019-11-30T01:05:42Z</dcterms:created>
  <dcterms:modified xsi:type="dcterms:W3CDTF">2019-11-30T01:05:42Z</dcterms:modified>
</cp:coreProperties>
</file>