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20" w:type="dxa"/>
        <w:tblCellMar>
          <w:top w:w="0" w:type="dxa"/>
          <w:left w:w="0" w:type="dxa"/>
          <w:bottom w:w="0" w:type="dxa"/>
          <w:right w:w="0" w:type="dxa"/>
        </w:tblCellMar>
      </w:tblPr>
      <w:tr>
        <w:trPr>
          <w:trHeight w:val="41"/>
        </w:trPr>
        <w:tc>
          <w:tcPr>
            <w:tcW w:w="5840" w:type="dxa"/>
            <w:vAlign w:val="bottom"/>
            <w:vMerge w:val="restart"/>
          </w:tcPr>
          <w:p>
            <w:pPr>
              <w:jc w:val="center"/>
              <w:ind w:right="1182"/>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62"/>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5840" w:type="dxa"/>
            <w:vAlign w:val="bottom"/>
            <w:vMerge w:val="restart"/>
          </w:tcPr>
          <w:p>
            <w:pPr>
              <w:jc w:val="center"/>
              <w:ind w:right="1162"/>
              <w:spacing w:after="0"/>
              <w:rPr>
                <w:sz w:val="20"/>
                <w:szCs w:val="20"/>
                <w:color w:val="auto"/>
              </w:rPr>
            </w:pPr>
            <w:r>
              <w:rPr>
                <w:rFonts w:ascii="Arial" w:cs="Arial" w:eastAsia="Arial" w:hAnsi="Arial"/>
                <w:sz w:val="18"/>
                <w:szCs w:val="18"/>
                <w:color w:val="auto"/>
                <w:w w:val="96"/>
              </w:rPr>
              <w:t>Washington, D.C. 20549</w:t>
            </w:r>
          </w:p>
        </w:tc>
        <w:tc>
          <w:tcPr>
            <w:tcW w:w="40" w:type="dxa"/>
            <w:vAlign w:val="bottom"/>
          </w:tcPr>
          <w:p>
            <w:pPr>
              <w:spacing w:after="0"/>
              <w:rPr>
                <w:sz w:val="13"/>
                <w:szCs w:val="13"/>
                <w:color w:val="auto"/>
              </w:rPr>
            </w:pPr>
          </w:p>
        </w:tc>
        <w:tc>
          <w:tcPr>
            <w:tcW w:w="1740" w:type="dxa"/>
            <w:vAlign w:val="bottom"/>
          </w:tcPr>
          <w:p>
            <w:pPr>
              <w:ind w:left="6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ind w:left="26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88"/>
        </w:trPr>
        <w:tc>
          <w:tcPr>
            <w:tcW w:w="58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tcPr>
          <w:p>
            <w:pPr>
              <w:ind w:left="6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5840" w:type="dxa"/>
            <w:vAlign w:val="bottom"/>
          </w:tcPr>
          <w:p>
            <w:pPr>
              <w:jc w:val="center"/>
              <w:ind w:right="1162"/>
              <w:spacing w:after="0" w:line="154" w:lineRule="exact"/>
              <w:rPr>
                <w:sz w:val="20"/>
                <w:szCs w:val="20"/>
                <w:color w:val="auto"/>
              </w:rPr>
            </w:pPr>
            <w:r>
              <w:rPr>
                <w:rFonts w:ascii="Arial" w:cs="Arial" w:eastAsia="Arial" w:hAnsi="Arial"/>
                <w:sz w:val="17"/>
                <w:szCs w:val="17"/>
                <w:b w:val="1"/>
                <w:bCs w:val="1"/>
                <w:color w:val="auto"/>
              </w:rPr>
              <w:t>FORM 25</w:t>
            </w:r>
          </w:p>
        </w:tc>
        <w:tc>
          <w:tcPr>
            <w:tcW w:w="40" w:type="dxa"/>
            <w:vAlign w:val="bottom"/>
          </w:tcPr>
          <w:p>
            <w:pPr>
              <w:spacing w:after="0"/>
              <w:rPr>
                <w:sz w:val="13"/>
                <w:szCs w:val="13"/>
                <w:color w:val="auto"/>
              </w:rPr>
            </w:pPr>
          </w:p>
        </w:tc>
        <w:tc>
          <w:tcPr>
            <w:tcW w:w="1740" w:type="dxa"/>
            <w:vAlign w:val="bottom"/>
            <w:vMerge w:val="restart"/>
          </w:tcPr>
          <w:p>
            <w:pPr>
              <w:ind w:left="60"/>
              <w:spacing w:after="0"/>
              <w:rPr>
                <w:sz w:val="20"/>
                <w:szCs w:val="20"/>
                <w:color w:val="auto"/>
              </w:rPr>
            </w:pPr>
            <w:r>
              <w:rPr>
                <w:rFonts w:ascii="Arial" w:cs="Arial" w:eastAsia="Arial" w:hAnsi="Arial"/>
                <w:sz w:val="12"/>
                <w:szCs w:val="12"/>
                <w:color w:val="auto"/>
              </w:rPr>
              <w:t>hours per response:</w:t>
            </w:r>
          </w:p>
        </w:tc>
        <w:tc>
          <w:tcPr>
            <w:tcW w:w="1160" w:type="dxa"/>
            <w:vAlign w:val="bottom"/>
            <w:vMerge w:val="restart"/>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5840" w:type="dxa"/>
            <w:vAlign w:val="bottom"/>
          </w:tcPr>
          <w:p>
            <w:pPr>
              <w:spacing w:after="0"/>
              <w:rPr>
                <w:sz w:val="3"/>
                <w:szCs w:val="3"/>
                <w:color w:val="auto"/>
              </w:rPr>
            </w:pPr>
          </w:p>
        </w:tc>
        <w:tc>
          <w:tcPr>
            <w:tcW w:w="40" w:type="dxa"/>
            <w:vAlign w:val="bottom"/>
          </w:tcPr>
          <w:p>
            <w:pPr>
              <w:spacing w:after="0"/>
              <w:rPr>
                <w:sz w:val="3"/>
                <w:szCs w:val="3"/>
                <w:color w:val="auto"/>
              </w:rPr>
            </w:pPr>
          </w:p>
        </w:tc>
        <w:tc>
          <w:tcPr>
            <w:tcW w:w="1740" w:type="dxa"/>
            <w:vAlign w:val="bottom"/>
            <w:vMerge w:val="continue"/>
          </w:tcPr>
          <w:p>
            <w:pPr>
              <w:spacing w:after="0"/>
              <w:rPr>
                <w:sz w:val="3"/>
                <w:szCs w:val="3"/>
                <w:color w:val="auto"/>
              </w:rPr>
            </w:pPr>
          </w:p>
        </w:tc>
        <w:tc>
          <w:tcPr>
            <w:tcW w:w="1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5840" w:type="dxa"/>
            <w:vAlign w:val="bottom"/>
          </w:tcPr>
          <w:p>
            <w:pPr>
              <w:spacing w:after="0"/>
              <w:rPr>
                <w:sz w:val="3"/>
                <w:szCs w:val="3"/>
                <w:color w:val="auto"/>
              </w:rPr>
            </w:pPr>
          </w:p>
        </w:tc>
        <w:tc>
          <w:tcPr>
            <w:tcW w:w="40" w:type="dxa"/>
            <w:vAlign w:val="bottom"/>
          </w:tcPr>
          <w:p>
            <w:pPr>
              <w:spacing w:after="0"/>
              <w:rPr>
                <w:sz w:val="3"/>
                <w:szCs w:val="3"/>
                <w:color w:val="auto"/>
              </w:rPr>
            </w:pPr>
          </w:p>
        </w:tc>
        <w:tc>
          <w:tcPr>
            <w:tcW w:w="174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58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74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6916420</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5055870</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6" w:lineRule="exact"/>
        <w:rPr>
          <w:sz w:val="24"/>
          <w:szCs w:val="24"/>
          <w:color w:val="auto"/>
        </w:rPr>
      </w:pPr>
    </w:p>
    <w:p>
      <w:pPr>
        <w:ind w:left="136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9" w:lineRule="exact"/>
        <w:rPr>
          <w:sz w:val="24"/>
          <w:szCs w:val="24"/>
          <w:color w:val="auto"/>
        </w:rPr>
      </w:pPr>
    </w:p>
    <w:p>
      <w:pPr>
        <w:ind w:left="504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Arial" w:cs="Arial" w:eastAsia="Arial" w:hAnsi="Arial"/>
            <w:sz w:val="21"/>
            <w:szCs w:val="21"/>
            <w:u w:val="single" w:color="auto"/>
            <w:color w:val="0000EE"/>
          </w:rPr>
          <w:t>001-16427</w:t>
        </w:r>
      </w:hyperlink>
    </w:p>
    <w:p>
      <w:pPr>
        <w:spacing w:after="0" w:line="137" w:lineRule="exact"/>
        <w:rPr>
          <w:sz w:val="24"/>
          <w:szCs w:val="24"/>
          <w:color w:val="auto"/>
        </w:rPr>
      </w:pPr>
    </w:p>
    <w:p>
      <w:pPr>
        <w:ind w:left="2700"/>
        <w:spacing w:after="0"/>
        <w:tabs>
          <w:tab w:leader="none" w:pos="3560" w:val="left"/>
        </w:tabs>
        <w:rPr>
          <w:rFonts w:ascii="Arial" w:cs="Arial" w:eastAsia="Arial" w:hAnsi="Arial"/>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Arial" w:cs="Arial" w:eastAsia="Arial" w:hAnsi="Arial"/>
            <w:sz w:val="22"/>
            <w:szCs w:val="22"/>
            <w:u w:val="single" w:color="auto"/>
            <w:color w:val="0000EE"/>
          </w:rPr>
          <w:t>Fidelity National Information Services, Inc.</w:t>
        </w:r>
      </w:hyperlink>
    </w:p>
    <w:p>
      <w:pPr>
        <w:spacing w:after="0" w:line="57" w:lineRule="exact"/>
        <w:rPr>
          <w:sz w:val="24"/>
          <w:szCs w:val="24"/>
          <w:color w:val="auto"/>
        </w:rPr>
      </w:pPr>
    </w:p>
    <w:p>
      <w:pPr>
        <w:ind w:left="2700"/>
        <w:spacing w:after="0"/>
        <w:rPr>
          <w:sz w:val="20"/>
          <w:szCs w:val="20"/>
          <w:color w:val="auto"/>
        </w:rPr>
      </w:pPr>
      <w:r>
        <w:rPr>
          <w:rFonts w:ascii="Arial" w:cs="Arial" w:eastAsia="Arial" w:hAnsi="Arial"/>
          <w:sz w:val="18"/>
          <w:szCs w:val="18"/>
          <w:color w:val="auto"/>
        </w:rPr>
        <w:t xml:space="preserve">Exchange: </w:t>
      </w:r>
      <w:r>
        <w:rPr>
          <w:rFonts w:ascii="Arial" w:cs="Arial" w:eastAsia="Arial" w:hAnsi="Arial"/>
          <w:sz w:val="18"/>
          <w:szCs w:val="18"/>
          <w:color w:val="0000FF"/>
        </w:rPr>
        <w:t>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421005</wp:posOffset>
            </wp:positionH>
            <wp:positionV relativeFrom="paragraph">
              <wp:posOffset>45720</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09" w:lineRule="exact"/>
        <w:rPr>
          <w:sz w:val="24"/>
          <w:szCs w:val="24"/>
          <w:color w:val="auto"/>
        </w:rPr>
      </w:pPr>
    </w:p>
    <w:p>
      <w:pPr>
        <w:ind w:left="68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ectPr>
          <w:pgSz w:w="11900" w:h="16838" w:orient="portrait"/>
          <w:cols w:equalWidth="0" w:num="1">
            <w:col w:w="10040"/>
          </w:cols>
          <w:pgMar w:left="920" w:top="268" w:right="939" w:bottom="1440" w:gutter="0" w:footer="0" w:header="0"/>
        </w:sectPr>
      </w:pPr>
    </w:p>
    <w:p>
      <w:pPr>
        <w:spacing w:after="0" w:line="93" w:lineRule="exact"/>
        <w:rPr>
          <w:sz w:val="24"/>
          <w:szCs w:val="24"/>
          <w:color w:val="auto"/>
        </w:rPr>
      </w:pPr>
    </w:p>
    <w:p>
      <w:pPr>
        <w:ind w:left="2580"/>
        <w:spacing w:after="0"/>
        <w:rPr>
          <w:sz w:val="20"/>
          <w:szCs w:val="20"/>
          <w:color w:val="auto"/>
        </w:rPr>
      </w:pPr>
      <w:r>
        <w:rPr>
          <w:rFonts w:ascii="Arial" w:cs="Arial" w:eastAsia="Arial" w:hAnsi="Arial"/>
          <w:sz w:val="16"/>
          <w:szCs w:val="16"/>
          <w:color w:val="auto"/>
        </w:rPr>
        <w:t>Address:</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5"/>
          <w:szCs w:val="15"/>
          <w:color w:val="0000FF"/>
        </w:rPr>
        <w:t>601 Riverside Avenue</w:t>
      </w:r>
    </w:p>
    <w:p>
      <w:pPr>
        <w:spacing w:after="0" w:line="97" w:lineRule="exact"/>
        <w:rPr>
          <w:sz w:val="24"/>
          <w:szCs w:val="24"/>
          <w:color w:val="auto"/>
        </w:rPr>
      </w:pPr>
    </w:p>
    <w:p>
      <w:pPr>
        <w:sectPr>
          <w:pgSz w:w="11900" w:h="16838" w:orient="portrait"/>
          <w:cols w:equalWidth="0" w:num="2">
            <w:col w:w="3420" w:space="720"/>
            <w:col w:w="5900"/>
          </w:cols>
          <w:pgMar w:left="920" w:top="268" w:right="939" w:bottom="1440" w:gutter="0" w:footer="0" w:header="0"/>
          <w:type w:val="continuous"/>
        </w:sectPr>
      </w:pPr>
    </w:p>
    <w:p>
      <w:pPr>
        <w:jc w:val="center"/>
        <w:ind w:right="-419"/>
        <w:spacing w:after="0"/>
        <w:rPr>
          <w:sz w:val="20"/>
          <w:szCs w:val="20"/>
          <w:color w:val="auto"/>
        </w:rPr>
      </w:pPr>
      <w:r>
        <w:rPr>
          <w:rFonts w:ascii="Arial" w:cs="Arial" w:eastAsia="Arial" w:hAnsi="Arial"/>
          <w:sz w:val="16"/>
          <w:szCs w:val="16"/>
          <w:color w:val="0000FF"/>
        </w:rPr>
        <w:t>Jacksonville FLORIDA 32204</w:t>
      </w:r>
    </w:p>
    <w:p>
      <w:pPr>
        <w:sectPr>
          <w:pgSz w:w="11900" w:h="16838" w:orient="portrait"/>
          <w:cols w:equalWidth="0" w:num="1">
            <w:col w:w="10040"/>
          </w:cols>
          <w:pgMar w:left="920" w:top="268" w:right="939" w:bottom="1440" w:gutter="0" w:footer="0" w:header="0"/>
          <w:type w:val="continuous"/>
        </w:sectPr>
      </w:pPr>
    </w:p>
    <w:p>
      <w:pPr>
        <w:spacing w:after="0" w:line="86" w:lineRule="exact"/>
        <w:rPr>
          <w:sz w:val="24"/>
          <w:szCs w:val="24"/>
          <w:color w:val="auto"/>
        </w:rPr>
      </w:pPr>
    </w:p>
    <w:p>
      <w:pPr>
        <w:ind w:left="2580"/>
        <w:spacing w:after="0"/>
        <w:rPr>
          <w:sz w:val="20"/>
          <w:szCs w:val="20"/>
          <w:color w:val="auto"/>
        </w:rPr>
      </w:pPr>
      <w:r>
        <w:rPr>
          <w:rFonts w:ascii="Arial" w:cs="Arial" w:eastAsia="Arial" w:hAnsi="Arial"/>
          <w:sz w:val="16"/>
          <w:szCs w:val="16"/>
          <w:color w:val="auto"/>
        </w:rPr>
        <w:t>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421005</wp:posOffset>
            </wp:positionH>
            <wp:positionV relativeFrom="paragraph">
              <wp:posOffset>60325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Arial" w:cs="Arial" w:eastAsia="Arial" w:hAnsi="Arial"/>
          <w:sz w:val="16"/>
          <w:szCs w:val="16"/>
          <w:color w:val="0000FF"/>
        </w:rPr>
        <w:t>(904) 438-6365</w:t>
      </w:r>
    </w:p>
    <w:p>
      <w:pPr>
        <w:spacing w:after="0" w:line="152" w:lineRule="exact"/>
        <w:rPr>
          <w:sz w:val="24"/>
          <w:szCs w:val="24"/>
          <w:color w:val="auto"/>
        </w:rPr>
      </w:pPr>
    </w:p>
    <w:p>
      <w:pPr>
        <w:sectPr>
          <w:pgSz w:w="11900" w:h="16838" w:orient="portrait"/>
          <w:cols w:equalWidth="0" w:num="2">
            <w:col w:w="5640" w:space="720"/>
            <w:col w:w="3680"/>
          </w:cols>
          <w:pgMar w:left="920" w:top="268" w:right="939" w:bottom="1440" w:gutter="0" w:footer="0" w:header="0"/>
          <w:type w:val="continuous"/>
        </w:sectPr>
      </w:pPr>
    </w:p>
    <w:p>
      <w:pPr>
        <w:ind w:left="68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color w:val="0000FF"/>
        </w:rPr>
        <w:t>0.750% Senior Notes due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421005</wp:posOffset>
            </wp:positionH>
            <wp:positionV relativeFrom="paragraph">
              <wp:posOffset>19685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68" w:lineRule="exact"/>
        <w:rPr>
          <w:sz w:val="24"/>
          <w:szCs w:val="24"/>
          <w:color w:val="auto"/>
        </w:rPr>
      </w:pPr>
    </w:p>
    <w:p>
      <w:pPr>
        <w:ind w:left="68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80"/>
        <w:spacing w:after="0" w:line="253"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20" w:lineRule="exact"/>
        <w:rPr>
          <w:sz w:val="24"/>
          <w:szCs w:val="24"/>
          <w:color w:val="auto"/>
        </w:rPr>
      </w:pPr>
    </w:p>
    <w:p>
      <w:pPr>
        <w:ind w:left="840"/>
        <w:spacing w:after="0"/>
        <w:rPr>
          <w:sz w:val="20"/>
          <w:szCs w:val="20"/>
          <w:color w:val="auto"/>
        </w:rPr>
      </w:pPr>
      <w:r>
        <w:rPr>
          <w:sz w:val="1"/>
          <w:szCs w:val="1"/>
          <w:color w:val="auto"/>
        </w:rPr>
        <w:drawing>
          <wp:inline distT="0" distB="0" distL="0" distR="0">
            <wp:extent cx="111760" cy="1117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40"/>
        <w:spacing w:after="0"/>
        <w:rPr>
          <w:sz w:val="20"/>
          <w:szCs w:val="20"/>
          <w:color w:val="auto"/>
        </w:rPr>
      </w:pPr>
      <w:r>
        <w:rPr>
          <w:sz w:val="1"/>
          <w:szCs w:val="1"/>
          <w:color w:val="auto"/>
        </w:rPr>
        <w:drawing>
          <wp:inline distT="0" distB="0" distL="0" distR="0">
            <wp:extent cx="111760" cy="111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40"/>
        <w:spacing w:after="0"/>
        <w:rPr>
          <w:sz w:val="20"/>
          <w:szCs w:val="20"/>
          <w:color w:val="auto"/>
        </w:rPr>
      </w:pPr>
      <w:r>
        <w:rPr>
          <w:sz w:val="1"/>
          <w:szCs w:val="1"/>
          <w:color w:val="auto"/>
        </w:rPr>
        <w:drawing>
          <wp:inline distT="0" distB="0" distL="0" distR="0">
            <wp:extent cx="111760"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40"/>
        <w:spacing w:after="0"/>
        <w:rPr>
          <w:sz w:val="20"/>
          <w:szCs w:val="20"/>
          <w:color w:val="auto"/>
        </w:rPr>
      </w:pPr>
      <w:r>
        <w:rPr>
          <w:sz w:val="1"/>
          <w:szCs w:val="1"/>
          <w:color w:val="auto"/>
        </w:rPr>
        <w:drawing>
          <wp:inline distT="0" distB="0" distL="0" distR="0">
            <wp:extent cx="111760" cy="111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760" cy="111125"/>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0" w:lineRule="auto"/>
        <w:rPr>
          <w:sz w:val="20"/>
          <w:szCs w:val="20"/>
          <w:color w:val="auto"/>
        </w:rPr>
      </w:pPr>
      <w:r>
        <w:rPr>
          <w:sz w:val="1"/>
          <w:szCs w:val="1"/>
          <w:color w:val="auto"/>
        </w:rPr>
        <w:drawing>
          <wp:inline distT="0" distB="0" distL="0" distR="0">
            <wp:extent cx="111760"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760"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color w:val="0000EE"/>
          <w:vertAlign w:val="superscript"/>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3868420</wp:posOffset>
            </wp:positionH>
            <wp:positionV relativeFrom="paragraph">
              <wp:posOffset>-115570</wp:posOffset>
            </wp:positionV>
            <wp:extent cx="514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7" w:lineRule="exact"/>
        <w:rPr>
          <w:sz w:val="24"/>
          <w:szCs w:val="24"/>
          <w:color w:val="auto"/>
        </w:rPr>
      </w:pPr>
    </w:p>
    <w:p>
      <w:pPr>
        <w:jc w:val="both"/>
        <w:ind w:left="780" w:right="1260" w:firstLine="54"/>
        <w:spacing w:after="0" w:line="242" w:lineRule="auto"/>
        <w:rPr>
          <w:sz w:val="20"/>
          <w:szCs w:val="20"/>
          <w:color w:val="auto"/>
        </w:rPr>
      </w:pPr>
      <w:r>
        <w:rPr>
          <w:sz w:val="1"/>
          <w:szCs w:val="1"/>
          <w:color w:val="auto"/>
        </w:rPr>
        <w:drawing>
          <wp:inline distT="0" distB="0" distL="0" distR="0">
            <wp:extent cx="111760" cy="1111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11760"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82" w:lineRule="exact"/>
        <w:rPr>
          <w:sz w:val="24"/>
          <w:szCs w:val="24"/>
          <w:color w:val="auto"/>
        </w:rPr>
      </w:pPr>
    </w:p>
    <w:p>
      <w:pPr>
        <w:jc w:val="both"/>
        <w:ind w:right="220"/>
        <w:spacing w:after="0" w:line="251"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Arial" w:cs="Arial" w:eastAsia="Arial" w:hAnsi="Arial"/>
          <w:sz w:val="18"/>
          <w:szCs w:val="18"/>
          <w:color w:val="0000FF"/>
        </w:rPr>
        <w:t>NEW YORK STOCK EXCHANGE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67"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940" w:type="dxa"/>
            <w:vAlign w:val="bottom"/>
            <w:vMerge w:val="restart"/>
          </w:tcPr>
          <w:p>
            <w:pPr>
              <w:ind w:left="40"/>
              <w:spacing w:after="0"/>
              <w:rPr>
                <w:sz w:val="20"/>
                <w:szCs w:val="20"/>
                <w:color w:val="auto"/>
              </w:rPr>
            </w:pPr>
            <w:r>
              <w:rPr>
                <w:rFonts w:ascii="Arial" w:cs="Arial" w:eastAsia="Arial" w:hAnsi="Arial"/>
                <w:sz w:val="18"/>
                <w:szCs w:val="18"/>
                <w:color w:val="auto"/>
              </w:rPr>
              <w:t>By</w:t>
            </w:r>
          </w:p>
        </w:tc>
        <w:tc>
          <w:tcPr>
            <w:tcW w:w="3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0000FF"/>
                <w:w w:val="89"/>
              </w:rPr>
              <w:t>Manager, Market Watch &amp;</w:t>
            </w:r>
          </w:p>
        </w:tc>
        <w:tc>
          <w:tcPr>
            <w:tcW w:w="0" w:type="dxa"/>
            <w:vAlign w:val="bottom"/>
          </w:tcPr>
          <w:p>
            <w:pPr>
              <w:spacing w:after="0"/>
              <w:rPr>
                <w:sz w:val="1"/>
                <w:szCs w:val="1"/>
                <w:color w:val="auto"/>
              </w:rPr>
            </w:pPr>
          </w:p>
        </w:tc>
      </w:tr>
      <w:tr>
        <w:trPr>
          <w:trHeight w:val="128"/>
        </w:trPr>
        <w:tc>
          <w:tcPr>
            <w:tcW w:w="2060" w:type="dxa"/>
            <w:vAlign w:val="bottom"/>
            <w:vMerge w:val="restart"/>
          </w:tcPr>
          <w:p>
            <w:pPr>
              <w:jc w:val="right"/>
              <w:ind w:right="532"/>
              <w:spacing w:after="0"/>
              <w:rPr>
                <w:sz w:val="20"/>
                <w:szCs w:val="20"/>
                <w:color w:val="auto"/>
              </w:rPr>
            </w:pPr>
            <w:r>
              <w:rPr>
                <w:rFonts w:ascii="Arial" w:cs="Arial" w:eastAsia="Arial" w:hAnsi="Arial"/>
                <w:sz w:val="18"/>
                <w:szCs w:val="18"/>
                <w:color w:val="0000FF"/>
              </w:rPr>
              <w:t>2023-05-22</w:t>
            </w:r>
          </w:p>
        </w:tc>
        <w:tc>
          <w:tcPr>
            <w:tcW w:w="940" w:type="dxa"/>
            <w:vAlign w:val="bottom"/>
            <w:vMerge w:val="continue"/>
          </w:tcPr>
          <w:p>
            <w:pPr>
              <w:spacing w:after="0"/>
              <w:rPr>
                <w:sz w:val="11"/>
                <w:szCs w:val="11"/>
                <w:color w:val="auto"/>
              </w:rPr>
            </w:pPr>
          </w:p>
        </w:tc>
        <w:tc>
          <w:tcPr>
            <w:tcW w:w="3400" w:type="dxa"/>
            <w:vAlign w:val="bottom"/>
            <w:vMerge w:val="restart"/>
          </w:tcPr>
          <w:p>
            <w:pPr>
              <w:ind w:left="1020"/>
              <w:spacing w:after="0"/>
              <w:rPr>
                <w:sz w:val="20"/>
                <w:szCs w:val="20"/>
                <w:color w:val="auto"/>
              </w:rPr>
            </w:pPr>
            <w:r>
              <w:rPr>
                <w:rFonts w:ascii="Arial" w:cs="Arial" w:eastAsia="Arial" w:hAnsi="Arial"/>
                <w:sz w:val="18"/>
                <w:szCs w:val="18"/>
                <w:color w:val="0000FF"/>
              </w:rPr>
              <w:t>Daniel Contrastano</w:t>
            </w:r>
          </w:p>
        </w:tc>
        <w:tc>
          <w:tcPr>
            <w:tcW w:w="260" w:type="dxa"/>
            <w:vAlign w:val="bottom"/>
          </w:tcPr>
          <w:p>
            <w:pPr>
              <w:spacing w:after="0"/>
              <w:rPr>
                <w:sz w:val="11"/>
                <w:szCs w:val="11"/>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8"/>
              </w:rPr>
              <w:t>Proxy Compliance</w:t>
            </w:r>
          </w:p>
        </w:tc>
        <w:tc>
          <w:tcPr>
            <w:tcW w:w="0" w:type="dxa"/>
            <w:vAlign w:val="bottom"/>
          </w:tcPr>
          <w:p>
            <w:pPr>
              <w:spacing w:after="0"/>
              <w:rPr>
                <w:sz w:val="1"/>
                <w:szCs w:val="1"/>
                <w:color w:val="auto"/>
              </w:rPr>
            </w:pPr>
          </w:p>
        </w:tc>
      </w:tr>
      <w:tr>
        <w:trPr>
          <w:trHeight w:val="109"/>
        </w:trPr>
        <w:tc>
          <w:tcPr>
            <w:tcW w:w="2060" w:type="dxa"/>
            <w:vAlign w:val="bottom"/>
            <w:tcBorders>
              <w:bottom w:val="single" w:sz="8" w:color="auto"/>
            </w:tcBorders>
            <w:vMerge w:val="continue"/>
          </w:tcPr>
          <w:p>
            <w:pPr>
              <w:spacing w:after="0"/>
              <w:rPr>
                <w:sz w:val="9"/>
                <w:szCs w:val="9"/>
                <w:color w:val="auto"/>
              </w:rPr>
            </w:pPr>
          </w:p>
        </w:tc>
        <w:tc>
          <w:tcPr>
            <w:tcW w:w="940" w:type="dxa"/>
            <w:vAlign w:val="bottom"/>
          </w:tcPr>
          <w:p>
            <w:pPr>
              <w:spacing w:after="0"/>
              <w:rPr>
                <w:sz w:val="9"/>
                <w:szCs w:val="9"/>
                <w:color w:val="auto"/>
              </w:rPr>
            </w:pPr>
          </w:p>
        </w:tc>
        <w:tc>
          <w:tcPr>
            <w:tcW w:w="3400" w:type="dxa"/>
            <w:vAlign w:val="bottom"/>
            <w:tcBorders>
              <w:bottom w:val="single" w:sz="8" w:color="auto"/>
            </w:tcBorders>
            <w:vMerge w:val="continue"/>
          </w:tcPr>
          <w:p>
            <w:pPr>
              <w:spacing w:after="0"/>
              <w:rPr>
                <w:sz w:val="9"/>
                <w:szCs w:val="9"/>
                <w:color w:val="auto"/>
              </w:rPr>
            </w:pPr>
          </w:p>
        </w:tc>
        <w:tc>
          <w:tcPr>
            <w:tcW w:w="260" w:type="dxa"/>
            <w:vAlign w:val="bottom"/>
          </w:tcPr>
          <w:p>
            <w:pPr>
              <w:spacing w:after="0"/>
              <w:rPr>
                <w:sz w:val="9"/>
                <w:szCs w:val="9"/>
                <w:color w:val="auto"/>
              </w:rPr>
            </w:pPr>
          </w:p>
        </w:tc>
        <w:tc>
          <w:tcPr>
            <w:tcW w:w="2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60" w:type="dxa"/>
            <w:vAlign w:val="bottom"/>
          </w:tcPr>
          <w:p>
            <w:pPr>
              <w:jc w:val="right"/>
              <w:ind w:right="1592"/>
              <w:spacing w:after="0"/>
              <w:rPr>
                <w:sz w:val="20"/>
                <w:szCs w:val="20"/>
                <w:color w:val="auto"/>
              </w:rPr>
            </w:pPr>
            <w:r>
              <w:rPr>
                <w:rFonts w:ascii="Arial" w:cs="Arial" w:eastAsia="Arial" w:hAnsi="Arial"/>
                <w:sz w:val="18"/>
                <w:szCs w:val="18"/>
                <w:color w:val="auto"/>
                <w:w w:val="94"/>
              </w:rPr>
              <w:t>Date</w:t>
            </w:r>
          </w:p>
        </w:tc>
        <w:tc>
          <w:tcPr>
            <w:tcW w:w="940" w:type="dxa"/>
            <w:vAlign w:val="bottom"/>
          </w:tcPr>
          <w:p>
            <w:pPr>
              <w:spacing w:after="0"/>
              <w:rPr>
                <w:sz w:val="22"/>
                <w:szCs w:val="22"/>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2"/>
                <w:szCs w:val="22"/>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bl>
    <w:p>
      <w:pPr>
        <w:spacing w:after="0" w:line="115" w:lineRule="exact"/>
        <w:rPr>
          <w:sz w:val="24"/>
          <w:szCs w:val="24"/>
          <w:color w:val="auto"/>
        </w:rPr>
      </w:pPr>
    </w:p>
    <w:p>
      <w:pPr>
        <w:ind w:left="1280" w:right="720" w:hanging="603"/>
        <w:spacing w:after="0" w:line="253" w:lineRule="auto"/>
        <w:tabs>
          <w:tab w:leader="none" w:pos="1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62"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40"/>
          </w:cols>
          <w:pgMar w:left="920" w:top="268" w:right="939" w:bottom="1440" w:gutter="0" w:footer="0" w:header="0"/>
          <w:type w:val="continuous"/>
        </w:sectPr>
      </w:pPr>
    </w:p>
    <w:bookmarkStart w:id="1" w:name="page2"/>
    <w:bookmarkEnd w:id="1"/>
    <w:p>
      <w:pPr>
        <w:spacing w:after="0" w:line="248" w:lineRule="auto"/>
        <w:rPr>
          <w:sz w:val="20"/>
          <w:szCs w:val="20"/>
          <w:color w:val="auto"/>
        </w:rPr>
      </w:pPr>
      <w:r>
        <w:rPr>
          <w:rFonts w:ascii="Arial" w:cs="Arial" w:eastAsia="Arial" w:hAnsi="Arial"/>
          <w:sz w:val="21"/>
          <w:szCs w:val="21"/>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June 02, 2023, pursuant to the provisions of Rule 12d2-2 (a). [ X ] 17 CFR 240.12d2-2(a)(2) That the entire class of this security was redeemed or paid at maturity or retirement on May 22, 2023. The Exchange also notifies the Securities and Exchange Commission that as a result of the above indicated conditions this security was suspended from trading on May 22, 2023.</w:t>
      </w:r>
    </w:p>
    <w:sectPr>
      <w:pgSz w:w="11900" w:h="16838" w:orient="portrait"/>
      <w:cols w:equalWidth="0" w:num="1">
        <w:col w:w="11160"/>
      </w:cols>
      <w:pgMar w:left="320" w:top="11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0" Type="http://schemas.openxmlformats.org/officeDocument/2006/relationships/hyperlink" Target="file:///cgi-bin/browse-edgar?action=getcompany&amp;filenum=001-16427" TargetMode="External"/><Relationship Id="rId11" Type="http://schemas.openxmlformats.org/officeDocument/2006/relationships/hyperlink" Target="http://www.sec.gov/cgi-bin/browse-edgar?action=getcompany&amp;CIK=00011368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2023-05-22T07:48:08Z</dcterms:created>
  <dcterms:modified xsi:type="dcterms:W3CDTF">2023-05-22T07:48:08Z</dcterms:modified>
</cp:coreProperties>
</file>