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15</w:t>
      </w:r>
    </w:p>
    <w:p>
      <w:pPr>
        <w:spacing w:after="0" w:line="375" w:lineRule="exact"/>
        <w:rPr>
          <w:sz w:val="24"/>
          <w:szCs w:val="24"/>
          <w:color w:val="auto"/>
        </w:rPr>
      </w:pPr>
    </w:p>
    <w:p>
      <w:pPr>
        <w:jc w:val="center"/>
        <w:ind w:left="220" w:right="200"/>
        <w:spacing w:after="0" w:line="243"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34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001-33747</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Metavante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Metavante Holdings, LLC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Riverside Ave., Jacksonville, Florida 32204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(904) 854-5000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Deferred Compensation Obligations under the Metavante Executive Deferred Compensation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Sections 13(a) or 15(d) remains)</w:t>
      </w:r>
    </w:p>
    <w:p>
      <w:pPr>
        <w:spacing w:after="0" w:line="35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219" w:right="239" w:bottom="1440" w:gutter="0" w:footer="0" w:header="0"/>
        </w:sectPr>
      </w:pPr>
    </w:p>
    <w:p>
      <w:pPr>
        <w:spacing w:after="0" w:line="90"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Rule 12h-3(b)(1)(i)</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Rule 12h-3(b)(1)(ii)</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2">
            <w:col w:w="5980" w:space="720"/>
            <w:col w:w="4720"/>
          </w:cols>
          <w:pgMar w:left="240" w:top="21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Approximate number of holders of record as of the certification of or notice date: None for each class</w:t>
      </w:r>
    </w:p>
    <w:p>
      <w:pPr>
        <w:spacing w:after="0" w:line="171"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Metavante Holdings, LLC (as successor by merger to Metavante Technologies, Inc.) has caused this certification/notice to be signed on its behalf by the undersigned duly authorized person.</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w w:val="89"/>
              </w:rPr>
              <w:t>Metavante Holdings, LLC (as successor to Metavante Technologies, Inc.)</w:t>
            </w:r>
          </w:p>
        </w:tc>
      </w:tr>
      <w:tr>
        <w:trPr>
          <w:trHeight w:val="433"/>
        </w:trPr>
        <w:tc>
          <w:tcPr>
            <w:tcW w:w="5600" w:type="dxa"/>
            <w:vAlign w:val="bottom"/>
            <w:gridSpan w:val="2"/>
          </w:tcPr>
          <w:p>
            <w:pPr>
              <w:spacing w:after="0"/>
              <w:rPr>
                <w:sz w:val="20"/>
                <w:szCs w:val="20"/>
                <w:color w:val="auto"/>
              </w:rPr>
            </w:pPr>
            <w:r>
              <w:rPr>
                <w:rFonts w:ascii="Arial" w:cs="Arial" w:eastAsia="Arial" w:hAnsi="Arial"/>
                <w:sz w:val="18"/>
                <w:szCs w:val="18"/>
                <w:color w:val="auto"/>
              </w:rPr>
              <w:t>DATE:  October 21, 2009</w:t>
            </w:r>
          </w:p>
        </w:tc>
        <w:tc>
          <w:tcPr>
            <w:tcW w:w="5820" w:type="dxa"/>
            <w:vAlign w:val="bottom"/>
            <w:gridSpan w:val="3"/>
          </w:tcPr>
          <w:p>
            <w:pPr>
              <w:ind w:left="14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ONALD</w:t>
            </w:r>
            <w:r>
              <w:rPr>
                <w:rFonts w:ascii="Arial" w:cs="Arial" w:eastAsia="Arial" w:hAnsi="Arial"/>
                <w:sz w:val="18"/>
                <w:szCs w:val="18"/>
                <w:color w:val="auto"/>
              </w:rPr>
              <w:t xml:space="preserve"> D. C</w:t>
            </w:r>
            <w:r>
              <w:rPr>
                <w:rFonts w:ascii="Arial" w:cs="Arial" w:eastAsia="Arial" w:hAnsi="Arial"/>
                <w:sz w:val="14"/>
                <w:szCs w:val="14"/>
                <w:color w:val="auto"/>
              </w:rPr>
              <w:t>OOK</w:t>
            </w:r>
          </w:p>
        </w:tc>
      </w:tr>
      <w:tr>
        <w:trPr>
          <w:trHeight w:val="202"/>
        </w:trPr>
        <w:tc>
          <w:tcPr>
            <w:tcW w:w="580" w:type="dxa"/>
            <w:vAlign w:val="bottom"/>
          </w:tcPr>
          <w:p>
            <w:pPr>
              <w:spacing w:after="0"/>
              <w:rPr>
                <w:sz w:val="17"/>
                <w:szCs w:val="17"/>
                <w:color w:val="auto"/>
              </w:rPr>
            </w:pPr>
          </w:p>
        </w:tc>
        <w:tc>
          <w:tcPr>
            <w:tcW w:w="5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D. Cook</w:t>
            </w: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Executive Vice President, General</w:t>
            </w: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Counsel and Corporate Secretary</w:t>
            </w:r>
          </w:p>
        </w:tc>
      </w:tr>
    </w:tbl>
    <w:p>
      <w:pPr>
        <w:spacing w:after="0" w:line="1" w:lineRule="exact"/>
        <w:rPr>
          <w:sz w:val="24"/>
          <w:szCs w:val="24"/>
          <w:color w:val="auto"/>
        </w:rPr>
      </w:pPr>
    </w:p>
    <w:sectPr>
      <w:pgSz w:w="11900" w:h="16838" w:orient="portrait"/>
      <w:cols w:equalWidth="0" w:num="1">
        <w:col w:w="11420"/>
      </w:cols>
      <w:pgMar w:left="240" w:top="2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2019-12-11T04:10:10Z</dcterms:created>
  <dcterms:modified xsi:type="dcterms:W3CDTF">2019-12-11T04:10:10Z</dcterms:modified>
</cp:coreProperties>
</file>