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-10795</wp:posOffset>
            </wp:positionV>
            <wp:extent cx="142240" cy="192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240" cy="192405"/>
                    </a:xfrm>
                    <a:prstGeom prst="rect">
                      <a:avLst/>
                    </a:prstGeom>
                    <a:noFill/>
                  </pic:spPr>
                </pic:pic>
              </a:graphicData>
            </a:graphic>
          </wp:anchor>
        </w:drawing>
      </w:r>
    </w:p>
    <w:p>
      <w:pPr>
        <w:jc w:val="both"/>
        <w:ind w:left="340" w:right="360" w:hanging="256"/>
        <w:spacing w:after="0" w:line="183"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5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5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2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5459730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17780</wp:posOffset>
            </wp:positionV>
            <wp:extent cx="7324725" cy="9246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246870"/>
                    </a:xfrm>
                    <a:prstGeom prst="rect">
                      <a:avLst/>
                    </a:prstGeom>
                    <a:noFill/>
                  </pic:spPr>
                </pic:pic>
              </a:graphicData>
            </a:graphic>
          </wp:anchor>
        </w:drawing>
      </w:r>
    </w:p>
    <w:p>
      <w:pPr>
        <w:spacing w:after="0" w:line="106" w:lineRule="exact"/>
        <w:rPr>
          <w:sz w:val="24"/>
          <w:szCs w:val="24"/>
          <w:color w:val="auto"/>
        </w:rPr>
      </w:pPr>
    </w:p>
    <w:p>
      <w:pPr>
        <w:sectPr>
          <w:pgSz w:w="11900" w:h="16863" w:orient="portrait"/>
          <w:cols w:equalWidth="0" w:num="2">
            <w:col w:w="2280" w:space="420"/>
            <w:col w:w="882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Hayford Michael D</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4900 WEST BROWN DEER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2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Metavante Technologies,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MV</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10/01/2009</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5"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C.O.O.</w:t>
      </w:r>
    </w:p>
    <w:p>
      <w:pPr>
        <w:spacing w:after="0" w:line="265" w:lineRule="exact"/>
        <w:rPr>
          <w:sz w:val="24"/>
          <w:szCs w:val="24"/>
          <w:color w:val="auto"/>
        </w:rPr>
      </w:pPr>
    </w:p>
    <w:p>
      <w:pPr>
        <w:sectPr>
          <w:pgSz w:w="11900" w:h="16863" w:orient="portrait"/>
          <w:cols w:equalWidth="0" w:num="3">
            <w:col w:w="3340" w:space="720"/>
            <w:col w:w="3275" w:space="720"/>
            <w:col w:w="3465"/>
          </w:cols>
          <w:pgMar w:left="240" w:top="223" w:right="139" w:bottom="0" w:gutter="0" w:footer="0" w:header="0"/>
          <w:type w:val="continuous"/>
        </w:sectPr>
      </w:pP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0" w:type="dxa"/>
            <w:vAlign w:val="bottom"/>
            <w:gridSpan w:val="6"/>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MILWAUKEE</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WI</w:t>
            </w:r>
          </w:p>
        </w:tc>
        <w:tc>
          <w:tcPr>
            <w:tcW w:w="1100" w:type="dxa"/>
            <w:vAlign w:val="bottom"/>
          </w:tcPr>
          <w:p>
            <w:pPr>
              <w:ind w:left="60"/>
              <w:spacing w:after="0"/>
              <w:rPr>
                <w:sz w:val="20"/>
                <w:szCs w:val="20"/>
                <w:color w:val="auto"/>
              </w:rPr>
            </w:pPr>
            <w:r>
              <w:rPr>
                <w:rFonts w:ascii="Arial" w:cs="Arial" w:eastAsia="Arial" w:hAnsi="Arial"/>
                <w:sz w:val="17"/>
                <w:szCs w:val="17"/>
                <w:color w:val="0000FF"/>
              </w:rPr>
              <w:t>53223</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gridSpan w:val="3"/>
          </w:tcPr>
          <w:p>
            <w:pPr>
              <w:ind w:left="540"/>
              <w:spacing w:after="0"/>
              <w:rPr>
                <w:sz w:val="20"/>
                <w:szCs w:val="20"/>
                <w:color w:val="auto"/>
              </w:rPr>
            </w:pPr>
            <w:r>
              <w:rPr>
                <w:rFonts w:ascii="Arial" w:cs="Arial" w:eastAsia="Arial" w:hAnsi="Arial"/>
                <w:sz w:val="17"/>
                <w:szCs w:val="17"/>
                <w:color w:val="0000FF"/>
              </w:rPr>
              <w:t>X</w:t>
            </w:r>
          </w:p>
        </w:tc>
        <w:tc>
          <w:tcPr>
            <w:tcW w:w="2400" w:type="dxa"/>
            <w:vAlign w:val="bottom"/>
            <w:gridSpan w:val="5"/>
          </w:tcPr>
          <w:p>
            <w:pPr>
              <w:ind w:left="200"/>
              <w:spacing w:after="0"/>
              <w:rPr>
                <w:sz w:val="20"/>
                <w:szCs w:val="20"/>
                <w:color w:val="auto"/>
              </w:rPr>
            </w:pPr>
            <w:r>
              <w:rPr>
                <w:rFonts w:ascii="Arial" w:cs="Arial" w:eastAsia="Arial" w:hAnsi="Arial"/>
                <w:sz w:val="13"/>
                <w:szCs w:val="13"/>
                <w:color w:val="auto"/>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12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6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5"/>
              </w:rPr>
              <w:t>(Month/Day/Year)</w:t>
            </w:r>
          </w:p>
        </w:tc>
        <w:tc>
          <w:tcPr>
            <w:tcW w:w="8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Arial" w:cs="Arial" w:eastAsia="Arial" w:hAnsi="Arial"/>
                <w:sz w:val="17"/>
                <w:szCs w:val="17"/>
                <w:color w:val="0000FF"/>
              </w:rPr>
              <w:t>10/01/2009</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53"/>
              <w:spacing w:after="0"/>
              <w:rPr>
                <w:sz w:val="20"/>
                <w:szCs w:val="20"/>
                <w:color w:val="auto"/>
              </w:rPr>
            </w:pPr>
            <w:r>
              <w:rPr>
                <w:rFonts w:ascii="Arial" w:cs="Arial" w:eastAsia="Arial" w:hAnsi="Arial"/>
                <w:sz w:val="17"/>
                <w:szCs w:val="17"/>
                <w:color w:val="0000FF"/>
                <w:w w:val="88"/>
              </w:rPr>
              <w:t>66,428</w:t>
            </w:r>
          </w:p>
        </w:tc>
        <w:tc>
          <w:tcPr>
            <w:tcW w:w="620" w:type="dxa"/>
            <w:vAlign w:val="bottom"/>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Pr>
          <w:p>
            <w:pPr>
              <w:jc w:val="right"/>
              <w:ind w:right="169"/>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ind w:left="520"/>
              <w:spacing w:after="0"/>
              <w:rPr>
                <w:sz w:val="20"/>
                <w:szCs w:val="20"/>
                <w:color w:val="auto"/>
              </w:rPr>
            </w:pPr>
            <w:r>
              <w:rPr>
                <w:rFonts w:ascii="Arial" w:cs="Arial" w:eastAsia="Arial" w:hAnsi="Arial"/>
                <w:sz w:val="17"/>
                <w:szCs w:val="17"/>
                <w:color w:val="0000FF"/>
              </w:rPr>
              <w:t>0</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gridSpan w:val="3"/>
          </w:tcPr>
          <w:p>
            <w:pPr>
              <w:ind w:left="880"/>
              <w:spacing w:after="0"/>
              <w:rPr>
                <w:sz w:val="20"/>
                <w:szCs w:val="20"/>
                <w:color w:val="auto"/>
              </w:rPr>
            </w:pPr>
            <w:r>
              <w:rPr>
                <w:rFonts w:ascii="Arial" w:cs="Arial" w:eastAsia="Arial" w:hAnsi="Arial"/>
                <w:sz w:val="17"/>
                <w:szCs w:val="17"/>
                <w:color w:val="0000FF"/>
              </w:rPr>
              <w:t>10/01/2009</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33"/>
              <w:spacing w:after="0"/>
              <w:rPr>
                <w:sz w:val="20"/>
                <w:szCs w:val="20"/>
                <w:color w:val="auto"/>
              </w:rPr>
            </w:pPr>
            <w:r>
              <w:rPr>
                <w:rFonts w:ascii="Arial" w:cs="Arial" w:eastAsia="Arial" w:hAnsi="Arial"/>
                <w:sz w:val="17"/>
                <w:szCs w:val="17"/>
                <w:color w:val="0000FF"/>
                <w:w w:val="90"/>
              </w:rPr>
              <w:t>1,228.22</w:t>
            </w:r>
          </w:p>
        </w:tc>
        <w:tc>
          <w:tcPr>
            <w:tcW w:w="620" w:type="dxa"/>
            <w:vAlign w:val="bottom"/>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Pr>
          <w:p>
            <w:pPr>
              <w:jc w:val="right"/>
              <w:ind w:right="169"/>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Arial" w:cs="Arial" w:eastAsia="Arial" w:hAnsi="Arial"/>
                <w:sz w:val="17"/>
                <w:szCs w:val="17"/>
                <w:color w:val="0000FF"/>
              </w:rPr>
              <w:t>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Program</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60" w:type="dxa"/>
            <w:vAlign w:val="bottom"/>
            <w:gridSpan w:val="3"/>
            <w:vMerge w:val="restart"/>
          </w:tcPr>
          <w:p>
            <w:pPr>
              <w:ind w:left="880"/>
              <w:spacing w:after="0"/>
              <w:rPr>
                <w:sz w:val="20"/>
                <w:szCs w:val="20"/>
                <w:color w:val="auto"/>
              </w:rPr>
            </w:pPr>
            <w:r>
              <w:rPr>
                <w:rFonts w:ascii="Arial" w:cs="Arial" w:eastAsia="Arial" w:hAnsi="Arial"/>
                <w:sz w:val="17"/>
                <w:szCs w:val="17"/>
                <w:color w:val="0000FF"/>
              </w:rPr>
              <w:t>10/01/2009</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740" w:type="dxa"/>
            <w:vAlign w:val="bottom"/>
            <w:vMerge w:val="restart"/>
          </w:tcPr>
          <w:p>
            <w:pPr>
              <w:jc w:val="center"/>
              <w:ind w:left="53"/>
              <w:spacing w:after="0"/>
              <w:rPr>
                <w:sz w:val="20"/>
                <w:szCs w:val="20"/>
                <w:color w:val="auto"/>
              </w:rPr>
            </w:pPr>
            <w:r>
              <w:rPr>
                <w:rFonts w:ascii="Arial" w:cs="Arial" w:eastAsia="Arial" w:hAnsi="Arial"/>
                <w:sz w:val="17"/>
                <w:szCs w:val="17"/>
                <w:color w:val="0000FF"/>
                <w:w w:val="89"/>
              </w:rPr>
              <w:t>9,177</w:t>
            </w:r>
          </w:p>
        </w:tc>
        <w:tc>
          <w:tcPr>
            <w:tcW w:w="62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169"/>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vMerge w:val="restart"/>
          </w:tcPr>
          <w:p>
            <w:pPr>
              <w:ind w:left="520"/>
              <w:spacing w:after="0"/>
              <w:rPr>
                <w:sz w:val="20"/>
                <w:szCs w:val="20"/>
                <w:color w:val="auto"/>
              </w:rPr>
            </w:pPr>
            <w:r>
              <w:rPr>
                <w:rFonts w:ascii="Arial" w:cs="Arial" w:eastAsia="Arial" w:hAnsi="Arial"/>
                <w:sz w:val="17"/>
                <w:szCs w:val="17"/>
                <w:color w:val="0000FF"/>
              </w:rPr>
              <w:t>0</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Jt.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Arial" w:cs="Arial" w:eastAsia="Arial" w:hAnsi="Arial"/>
                <w:sz w:val="17"/>
                <w:szCs w:val="17"/>
                <w:color w:val="0000FF"/>
              </w:rPr>
              <w:t>10/01/2009</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33"/>
              <w:spacing w:after="0"/>
              <w:rPr>
                <w:sz w:val="20"/>
                <w:szCs w:val="20"/>
                <w:color w:val="auto"/>
              </w:rPr>
            </w:pPr>
            <w:r>
              <w:rPr>
                <w:rFonts w:ascii="Arial" w:cs="Arial" w:eastAsia="Arial" w:hAnsi="Arial"/>
                <w:sz w:val="17"/>
                <w:szCs w:val="17"/>
                <w:color w:val="0000FF"/>
                <w:w w:val="91"/>
              </w:rPr>
              <w:t>492.065</w:t>
            </w:r>
          </w:p>
        </w:tc>
        <w:tc>
          <w:tcPr>
            <w:tcW w:w="620" w:type="dxa"/>
            <w:vAlign w:val="bottom"/>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Pr>
          <w:p>
            <w:pPr>
              <w:jc w:val="right"/>
              <w:ind w:right="169"/>
              <w:spacing w:after="0"/>
              <w:rPr>
                <w:sz w:val="20"/>
                <w:szCs w:val="20"/>
                <w:color w:val="auto"/>
              </w:rPr>
            </w:pPr>
            <w:r>
              <w:rPr>
                <w:rFonts w:ascii="Arial" w:cs="Arial" w:eastAsia="Arial" w:hAnsi="Arial"/>
                <w:sz w:val="11"/>
                <w:szCs w:val="11"/>
                <w:color w:val="008000"/>
              </w:rPr>
              <w:t>(4)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ind w:left="520"/>
              <w:spacing w:after="0"/>
              <w:rPr>
                <w:sz w:val="20"/>
                <w:szCs w:val="20"/>
                <w:color w:val="auto"/>
              </w:rPr>
            </w:pPr>
            <w:r>
              <w:rPr>
                <w:rFonts w:ascii="Arial" w:cs="Arial" w:eastAsia="Arial" w:hAnsi="Arial"/>
                <w:sz w:val="17"/>
                <w:szCs w:val="17"/>
                <w:color w:val="0000FF"/>
              </w:rPr>
              <w:t>0</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ESPP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40" w:type="dxa"/>
            <w:vAlign w:val="bottom"/>
          </w:tcPr>
          <w:p>
            <w:pPr>
              <w:spacing w:after="0"/>
              <w:rPr>
                <w:sz w:val="11"/>
                <w:szCs w:val="11"/>
                <w:color w:val="auto"/>
              </w:rPr>
            </w:pPr>
          </w:p>
        </w:tc>
        <w:tc>
          <w:tcPr>
            <w:tcW w:w="13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4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gridSpan w:val="2"/>
            <w:vMerge w:val="restart"/>
          </w:tcPr>
          <w:p>
            <w:pPr>
              <w:jc w:val="center"/>
              <w:ind w:right="57"/>
              <w:spacing w:after="0"/>
              <w:rPr>
                <w:sz w:val="20"/>
                <w:szCs w:val="20"/>
                <w:color w:val="auto"/>
              </w:rPr>
            </w:pPr>
            <w:r>
              <w:rPr>
                <w:rFonts w:ascii="Arial" w:cs="Arial" w:eastAsia="Arial" w:hAnsi="Arial"/>
                <w:sz w:val="13"/>
                <w:szCs w:val="13"/>
                <w:color w:val="0000FF"/>
                <w:w w:val="87"/>
              </w:rPr>
              <w:t>10/27/2006</w:t>
            </w:r>
            <w:r>
              <w:rPr>
                <w:rFonts w:ascii="Arial" w:cs="Arial" w:eastAsia="Arial" w:hAnsi="Arial"/>
                <w:sz w:val="21"/>
                <w:szCs w:val="21"/>
                <w:color w:val="008000"/>
                <w:w w:val="87"/>
                <w:vertAlign w:val="superscript"/>
              </w:rPr>
              <w:t>(5)</w:t>
            </w:r>
          </w:p>
        </w:tc>
        <w:tc>
          <w:tcPr>
            <w:tcW w:w="740" w:type="dxa"/>
            <w:vAlign w:val="bottom"/>
          </w:tcPr>
          <w:p>
            <w:pPr>
              <w:spacing w:after="0"/>
              <w:rPr>
                <w:sz w:val="12"/>
                <w:szCs w:val="12"/>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52,916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color w:val="008000"/>
              </w:rPr>
              <w:t>(5)</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81"/>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19.73</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10/01/2009</w:t>
            </w:r>
          </w:p>
        </w:tc>
        <w:tc>
          <w:tcPr>
            <w:tcW w:w="1100" w:type="dxa"/>
            <w:vAlign w:val="bottom"/>
          </w:tcPr>
          <w:p>
            <w:pPr>
              <w:spacing w:after="0"/>
              <w:rPr>
                <w:sz w:val="5"/>
                <w:szCs w:val="5"/>
                <w:color w:val="auto"/>
              </w:rPr>
            </w:pPr>
          </w:p>
        </w:tc>
        <w:tc>
          <w:tcPr>
            <w:tcW w:w="760" w:type="dxa"/>
            <w:vAlign w:val="bottom"/>
            <w:gridSpan w:val="2"/>
            <w:vMerge w:val="restart"/>
          </w:tcPr>
          <w:p>
            <w:pPr>
              <w:ind w:left="180"/>
              <w:spacing w:after="0" w:line="145" w:lineRule="exact"/>
              <w:rPr>
                <w:sz w:val="20"/>
                <w:szCs w:val="20"/>
                <w:color w:val="auto"/>
              </w:rPr>
            </w:pPr>
            <w:r>
              <w:rPr>
                <w:rFonts w:ascii="Arial" w:cs="Arial" w:eastAsia="Arial" w:hAnsi="Arial"/>
                <w:sz w:val="13"/>
                <w:szCs w:val="13"/>
                <w:color w:val="0000FF"/>
              </w:rPr>
              <w:t>D</w:t>
            </w:r>
          </w:p>
        </w:tc>
        <w:tc>
          <w:tcPr>
            <w:tcW w:w="1000" w:type="dxa"/>
            <w:vAlign w:val="bottom"/>
            <w:vMerge w:val="restart"/>
          </w:tcPr>
          <w:p>
            <w:pPr>
              <w:jc w:val="center"/>
              <w:ind w:left="258"/>
              <w:spacing w:after="0" w:line="145" w:lineRule="exact"/>
              <w:rPr>
                <w:sz w:val="20"/>
                <w:szCs w:val="20"/>
                <w:color w:val="auto"/>
              </w:rPr>
            </w:pPr>
            <w:r>
              <w:rPr>
                <w:rFonts w:ascii="Arial" w:cs="Arial" w:eastAsia="Arial" w:hAnsi="Arial"/>
                <w:sz w:val="13"/>
                <w:szCs w:val="13"/>
                <w:color w:val="0000FF"/>
                <w:w w:val="90"/>
              </w:rPr>
              <w:t>52,916</w:t>
            </w:r>
          </w:p>
        </w:tc>
        <w:tc>
          <w:tcPr>
            <w:tcW w:w="880" w:type="dxa"/>
            <w:vAlign w:val="bottom"/>
            <w:gridSpan w:val="2"/>
            <w:vMerge w:val="continue"/>
          </w:tcPr>
          <w:p>
            <w:pPr>
              <w:spacing w:after="0"/>
              <w:rPr>
                <w:sz w:val="5"/>
                <w:szCs w:val="5"/>
                <w:color w:val="auto"/>
              </w:rPr>
            </w:pPr>
          </w:p>
        </w:tc>
        <w:tc>
          <w:tcPr>
            <w:tcW w:w="740" w:type="dxa"/>
            <w:vAlign w:val="bottom"/>
            <w:vMerge w:val="restart"/>
          </w:tcPr>
          <w:p>
            <w:pPr>
              <w:jc w:val="center"/>
              <w:ind w:right="73"/>
              <w:spacing w:after="0" w:line="145" w:lineRule="exact"/>
              <w:rPr>
                <w:sz w:val="20"/>
                <w:szCs w:val="20"/>
                <w:color w:val="auto"/>
              </w:rPr>
            </w:pPr>
            <w:r>
              <w:rPr>
                <w:rFonts w:ascii="Arial" w:cs="Arial" w:eastAsia="Arial" w:hAnsi="Arial"/>
                <w:sz w:val="13"/>
                <w:szCs w:val="13"/>
                <w:color w:val="0000FF"/>
                <w:w w:val="92"/>
              </w:rPr>
              <w:t>10/27/2013</w:t>
            </w: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4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gridSpan w:val="2"/>
            <w:vMerge w:val="restart"/>
          </w:tcPr>
          <w:p>
            <w:pPr>
              <w:jc w:val="center"/>
              <w:ind w:right="57"/>
              <w:spacing w:after="0"/>
              <w:rPr>
                <w:sz w:val="20"/>
                <w:szCs w:val="20"/>
                <w:color w:val="auto"/>
              </w:rPr>
            </w:pPr>
            <w:r>
              <w:rPr>
                <w:rFonts w:ascii="Arial" w:cs="Arial" w:eastAsia="Arial" w:hAnsi="Arial"/>
                <w:sz w:val="13"/>
                <w:szCs w:val="13"/>
                <w:color w:val="0000FF"/>
                <w:w w:val="87"/>
              </w:rPr>
              <w:t>10/27/2007</w:t>
            </w:r>
            <w:r>
              <w:rPr>
                <w:rFonts w:ascii="Arial" w:cs="Arial" w:eastAsia="Arial" w:hAnsi="Arial"/>
                <w:sz w:val="21"/>
                <w:szCs w:val="21"/>
                <w:color w:val="008000"/>
                <w:w w:val="87"/>
                <w:vertAlign w:val="superscript"/>
              </w:rPr>
              <w:t>(6)</w:t>
            </w:r>
          </w:p>
        </w:tc>
        <w:tc>
          <w:tcPr>
            <w:tcW w:w="740" w:type="dxa"/>
            <w:vAlign w:val="bottom"/>
          </w:tcPr>
          <w:p>
            <w:pPr>
              <w:spacing w:after="0"/>
              <w:rPr>
                <w:sz w:val="12"/>
                <w:szCs w:val="12"/>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59,531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color w:val="008000"/>
              </w:rPr>
              <w:t>(6)</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81"/>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23.79</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10/01/2009</w:t>
            </w:r>
          </w:p>
        </w:tc>
        <w:tc>
          <w:tcPr>
            <w:tcW w:w="1100" w:type="dxa"/>
            <w:vAlign w:val="bottom"/>
          </w:tcPr>
          <w:p>
            <w:pPr>
              <w:spacing w:after="0"/>
              <w:rPr>
                <w:sz w:val="5"/>
                <w:szCs w:val="5"/>
                <w:color w:val="auto"/>
              </w:rPr>
            </w:pPr>
          </w:p>
        </w:tc>
        <w:tc>
          <w:tcPr>
            <w:tcW w:w="760" w:type="dxa"/>
            <w:vAlign w:val="bottom"/>
            <w:gridSpan w:val="2"/>
            <w:vMerge w:val="restart"/>
          </w:tcPr>
          <w:p>
            <w:pPr>
              <w:ind w:left="180"/>
              <w:spacing w:after="0" w:line="145" w:lineRule="exact"/>
              <w:rPr>
                <w:sz w:val="20"/>
                <w:szCs w:val="20"/>
                <w:color w:val="auto"/>
              </w:rPr>
            </w:pPr>
            <w:r>
              <w:rPr>
                <w:rFonts w:ascii="Arial" w:cs="Arial" w:eastAsia="Arial" w:hAnsi="Arial"/>
                <w:sz w:val="13"/>
                <w:szCs w:val="13"/>
                <w:color w:val="0000FF"/>
              </w:rPr>
              <w:t>D</w:t>
            </w:r>
          </w:p>
        </w:tc>
        <w:tc>
          <w:tcPr>
            <w:tcW w:w="1000" w:type="dxa"/>
            <w:vAlign w:val="bottom"/>
            <w:vMerge w:val="restart"/>
          </w:tcPr>
          <w:p>
            <w:pPr>
              <w:jc w:val="center"/>
              <w:ind w:left="258"/>
              <w:spacing w:after="0" w:line="145" w:lineRule="exact"/>
              <w:rPr>
                <w:sz w:val="20"/>
                <w:szCs w:val="20"/>
                <w:color w:val="auto"/>
              </w:rPr>
            </w:pPr>
            <w:r>
              <w:rPr>
                <w:rFonts w:ascii="Arial" w:cs="Arial" w:eastAsia="Arial" w:hAnsi="Arial"/>
                <w:sz w:val="13"/>
                <w:szCs w:val="13"/>
                <w:color w:val="0000FF"/>
                <w:w w:val="90"/>
              </w:rPr>
              <w:t>59,531</w:t>
            </w:r>
          </w:p>
        </w:tc>
        <w:tc>
          <w:tcPr>
            <w:tcW w:w="880" w:type="dxa"/>
            <w:vAlign w:val="bottom"/>
            <w:gridSpan w:val="2"/>
            <w:vMerge w:val="continue"/>
          </w:tcPr>
          <w:p>
            <w:pPr>
              <w:spacing w:after="0"/>
              <w:rPr>
                <w:sz w:val="5"/>
                <w:szCs w:val="5"/>
                <w:color w:val="auto"/>
              </w:rPr>
            </w:pPr>
          </w:p>
        </w:tc>
        <w:tc>
          <w:tcPr>
            <w:tcW w:w="740" w:type="dxa"/>
            <w:vAlign w:val="bottom"/>
            <w:vMerge w:val="restart"/>
          </w:tcPr>
          <w:p>
            <w:pPr>
              <w:jc w:val="center"/>
              <w:ind w:right="73"/>
              <w:spacing w:after="0" w:line="145" w:lineRule="exact"/>
              <w:rPr>
                <w:sz w:val="20"/>
                <w:szCs w:val="20"/>
                <w:color w:val="auto"/>
              </w:rPr>
            </w:pPr>
            <w:r>
              <w:rPr>
                <w:rFonts w:ascii="Arial" w:cs="Arial" w:eastAsia="Arial" w:hAnsi="Arial"/>
                <w:sz w:val="13"/>
                <w:szCs w:val="13"/>
                <w:color w:val="0000FF"/>
                <w:w w:val="92"/>
              </w:rPr>
              <w:t>10/27/2014</w:t>
            </w: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4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gridSpan w:val="2"/>
            <w:vMerge w:val="restart"/>
          </w:tcPr>
          <w:p>
            <w:pPr>
              <w:jc w:val="center"/>
              <w:ind w:right="57"/>
              <w:spacing w:after="0"/>
              <w:rPr>
                <w:sz w:val="20"/>
                <w:szCs w:val="20"/>
                <w:color w:val="auto"/>
              </w:rPr>
            </w:pPr>
            <w:r>
              <w:rPr>
                <w:rFonts w:ascii="Arial" w:cs="Arial" w:eastAsia="Arial" w:hAnsi="Arial"/>
                <w:sz w:val="11"/>
                <w:szCs w:val="11"/>
                <w:color w:val="008000"/>
                <w:w w:val="88"/>
              </w:rPr>
              <w:t>(7)</w:t>
            </w:r>
          </w:p>
        </w:tc>
        <w:tc>
          <w:tcPr>
            <w:tcW w:w="740" w:type="dxa"/>
            <w:vAlign w:val="bottom"/>
          </w:tcPr>
          <w:p>
            <w:pPr>
              <w:spacing w:after="0"/>
              <w:rPr>
                <w:sz w:val="12"/>
                <w:szCs w:val="12"/>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59,531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color w:val="008000"/>
              </w:rPr>
              <w:t>(7)</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81"/>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24.28</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10/01/2009</w:t>
            </w:r>
          </w:p>
        </w:tc>
        <w:tc>
          <w:tcPr>
            <w:tcW w:w="1100" w:type="dxa"/>
            <w:vAlign w:val="bottom"/>
          </w:tcPr>
          <w:p>
            <w:pPr>
              <w:spacing w:after="0"/>
              <w:rPr>
                <w:sz w:val="5"/>
                <w:szCs w:val="5"/>
                <w:color w:val="auto"/>
              </w:rPr>
            </w:pPr>
          </w:p>
        </w:tc>
        <w:tc>
          <w:tcPr>
            <w:tcW w:w="760" w:type="dxa"/>
            <w:vAlign w:val="bottom"/>
            <w:gridSpan w:val="2"/>
            <w:vMerge w:val="restart"/>
          </w:tcPr>
          <w:p>
            <w:pPr>
              <w:ind w:left="180"/>
              <w:spacing w:after="0" w:line="145" w:lineRule="exact"/>
              <w:rPr>
                <w:sz w:val="20"/>
                <w:szCs w:val="20"/>
                <w:color w:val="auto"/>
              </w:rPr>
            </w:pPr>
            <w:r>
              <w:rPr>
                <w:rFonts w:ascii="Arial" w:cs="Arial" w:eastAsia="Arial" w:hAnsi="Arial"/>
                <w:sz w:val="13"/>
                <w:szCs w:val="13"/>
                <w:color w:val="0000FF"/>
              </w:rPr>
              <w:t>D</w:t>
            </w:r>
          </w:p>
        </w:tc>
        <w:tc>
          <w:tcPr>
            <w:tcW w:w="1000" w:type="dxa"/>
            <w:vAlign w:val="bottom"/>
            <w:vMerge w:val="restart"/>
          </w:tcPr>
          <w:p>
            <w:pPr>
              <w:jc w:val="center"/>
              <w:ind w:left="258"/>
              <w:spacing w:after="0" w:line="145" w:lineRule="exact"/>
              <w:rPr>
                <w:sz w:val="20"/>
                <w:szCs w:val="20"/>
                <w:color w:val="auto"/>
              </w:rPr>
            </w:pPr>
            <w:r>
              <w:rPr>
                <w:rFonts w:ascii="Arial" w:cs="Arial" w:eastAsia="Arial" w:hAnsi="Arial"/>
                <w:sz w:val="13"/>
                <w:szCs w:val="13"/>
                <w:color w:val="0000FF"/>
                <w:w w:val="90"/>
              </w:rPr>
              <w:t>59,531</w:t>
            </w:r>
          </w:p>
        </w:tc>
        <w:tc>
          <w:tcPr>
            <w:tcW w:w="880" w:type="dxa"/>
            <w:vAlign w:val="bottom"/>
            <w:gridSpan w:val="2"/>
            <w:vMerge w:val="continue"/>
          </w:tcPr>
          <w:p>
            <w:pPr>
              <w:spacing w:after="0"/>
              <w:rPr>
                <w:sz w:val="5"/>
                <w:szCs w:val="5"/>
                <w:color w:val="auto"/>
              </w:rPr>
            </w:pPr>
          </w:p>
        </w:tc>
        <w:tc>
          <w:tcPr>
            <w:tcW w:w="740" w:type="dxa"/>
            <w:vAlign w:val="bottom"/>
            <w:vMerge w:val="restart"/>
          </w:tcPr>
          <w:p>
            <w:pPr>
              <w:jc w:val="center"/>
              <w:ind w:right="73"/>
              <w:spacing w:after="0" w:line="145" w:lineRule="exact"/>
              <w:rPr>
                <w:sz w:val="20"/>
                <w:szCs w:val="20"/>
                <w:color w:val="auto"/>
              </w:rPr>
            </w:pPr>
            <w:r>
              <w:rPr>
                <w:rFonts w:ascii="Arial" w:cs="Arial" w:eastAsia="Arial" w:hAnsi="Arial"/>
                <w:sz w:val="13"/>
                <w:szCs w:val="13"/>
                <w:color w:val="0000FF"/>
                <w:w w:val="92"/>
              </w:rPr>
              <w:t>10/28/2015</w:t>
            </w: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4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gridSpan w:val="2"/>
            <w:vMerge w:val="restart"/>
          </w:tcPr>
          <w:p>
            <w:pPr>
              <w:jc w:val="center"/>
              <w:ind w:right="57"/>
              <w:spacing w:after="0"/>
              <w:rPr>
                <w:sz w:val="20"/>
                <w:szCs w:val="20"/>
                <w:color w:val="auto"/>
              </w:rPr>
            </w:pPr>
            <w:r>
              <w:rPr>
                <w:rFonts w:ascii="Arial" w:cs="Arial" w:eastAsia="Arial" w:hAnsi="Arial"/>
                <w:sz w:val="11"/>
                <w:szCs w:val="11"/>
                <w:color w:val="008000"/>
                <w:w w:val="88"/>
              </w:rPr>
              <w:t>(8)</w:t>
            </w:r>
          </w:p>
        </w:tc>
        <w:tc>
          <w:tcPr>
            <w:tcW w:w="740" w:type="dxa"/>
            <w:vAlign w:val="bottom"/>
          </w:tcPr>
          <w:p>
            <w:pPr>
              <w:spacing w:after="0"/>
              <w:rPr>
                <w:sz w:val="12"/>
                <w:szCs w:val="12"/>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66,145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color w:val="008000"/>
              </w:rPr>
              <w:t>(8)</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81"/>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27.26</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10/01/2009</w:t>
            </w:r>
          </w:p>
        </w:tc>
        <w:tc>
          <w:tcPr>
            <w:tcW w:w="1100" w:type="dxa"/>
            <w:vAlign w:val="bottom"/>
          </w:tcPr>
          <w:p>
            <w:pPr>
              <w:spacing w:after="0"/>
              <w:rPr>
                <w:sz w:val="5"/>
                <w:szCs w:val="5"/>
                <w:color w:val="auto"/>
              </w:rPr>
            </w:pPr>
          </w:p>
        </w:tc>
        <w:tc>
          <w:tcPr>
            <w:tcW w:w="760" w:type="dxa"/>
            <w:vAlign w:val="bottom"/>
            <w:gridSpan w:val="2"/>
            <w:vMerge w:val="restart"/>
          </w:tcPr>
          <w:p>
            <w:pPr>
              <w:ind w:left="180"/>
              <w:spacing w:after="0" w:line="145" w:lineRule="exact"/>
              <w:rPr>
                <w:sz w:val="20"/>
                <w:szCs w:val="20"/>
                <w:color w:val="auto"/>
              </w:rPr>
            </w:pPr>
            <w:r>
              <w:rPr>
                <w:rFonts w:ascii="Arial" w:cs="Arial" w:eastAsia="Arial" w:hAnsi="Arial"/>
                <w:sz w:val="13"/>
                <w:szCs w:val="13"/>
                <w:color w:val="0000FF"/>
              </w:rPr>
              <w:t>D</w:t>
            </w:r>
          </w:p>
        </w:tc>
        <w:tc>
          <w:tcPr>
            <w:tcW w:w="1000" w:type="dxa"/>
            <w:vAlign w:val="bottom"/>
            <w:vMerge w:val="restart"/>
          </w:tcPr>
          <w:p>
            <w:pPr>
              <w:jc w:val="center"/>
              <w:ind w:left="258"/>
              <w:spacing w:after="0" w:line="145" w:lineRule="exact"/>
              <w:rPr>
                <w:sz w:val="20"/>
                <w:szCs w:val="20"/>
                <w:color w:val="auto"/>
              </w:rPr>
            </w:pPr>
            <w:r>
              <w:rPr>
                <w:rFonts w:ascii="Arial" w:cs="Arial" w:eastAsia="Arial" w:hAnsi="Arial"/>
                <w:sz w:val="13"/>
                <w:szCs w:val="13"/>
                <w:color w:val="0000FF"/>
                <w:w w:val="90"/>
              </w:rPr>
              <w:t>66,145</w:t>
            </w:r>
          </w:p>
        </w:tc>
        <w:tc>
          <w:tcPr>
            <w:tcW w:w="880" w:type="dxa"/>
            <w:vAlign w:val="bottom"/>
            <w:gridSpan w:val="2"/>
            <w:vMerge w:val="continue"/>
          </w:tcPr>
          <w:p>
            <w:pPr>
              <w:spacing w:after="0"/>
              <w:rPr>
                <w:sz w:val="5"/>
                <w:szCs w:val="5"/>
                <w:color w:val="auto"/>
              </w:rPr>
            </w:pPr>
          </w:p>
        </w:tc>
        <w:tc>
          <w:tcPr>
            <w:tcW w:w="740" w:type="dxa"/>
            <w:vAlign w:val="bottom"/>
            <w:vMerge w:val="restart"/>
          </w:tcPr>
          <w:p>
            <w:pPr>
              <w:jc w:val="center"/>
              <w:ind w:right="73"/>
              <w:spacing w:after="0" w:line="145" w:lineRule="exact"/>
              <w:rPr>
                <w:sz w:val="20"/>
                <w:szCs w:val="20"/>
                <w:color w:val="auto"/>
              </w:rPr>
            </w:pPr>
            <w:r>
              <w:rPr>
                <w:rFonts w:ascii="Arial" w:cs="Arial" w:eastAsia="Arial" w:hAnsi="Arial"/>
                <w:sz w:val="13"/>
                <w:szCs w:val="13"/>
                <w:color w:val="0000FF"/>
                <w:w w:val="92"/>
              </w:rPr>
              <w:t>10/30/2016</w:t>
            </w: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4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gridSpan w:val="2"/>
            <w:vMerge w:val="restart"/>
          </w:tcPr>
          <w:p>
            <w:pPr>
              <w:jc w:val="center"/>
              <w:ind w:right="57"/>
              <w:spacing w:after="0"/>
              <w:rPr>
                <w:sz w:val="20"/>
                <w:szCs w:val="20"/>
                <w:color w:val="auto"/>
              </w:rPr>
            </w:pPr>
            <w:r>
              <w:rPr>
                <w:rFonts w:ascii="Arial" w:cs="Arial" w:eastAsia="Arial" w:hAnsi="Arial"/>
                <w:sz w:val="11"/>
                <w:szCs w:val="11"/>
                <w:color w:val="008000"/>
                <w:w w:val="88"/>
              </w:rPr>
              <w:t>(9)</w:t>
            </w:r>
          </w:p>
        </w:tc>
        <w:tc>
          <w:tcPr>
            <w:tcW w:w="740" w:type="dxa"/>
            <w:vAlign w:val="bottom"/>
          </w:tcPr>
          <w:p>
            <w:pPr>
              <w:spacing w:after="0"/>
              <w:rPr>
                <w:sz w:val="12"/>
                <w:szCs w:val="12"/>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575,000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color w:val="008000"/>
              </w:rPr>
              <w:t>(9)</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81"/>
              <w:spacing w:after="0" w:line="12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23.332</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10/01/2009</w:t>
            </w:r>
          </w:p>
        </w:tc>
        <w:tc>
          <w:tcPr>
            <w:tcW w:w="1100" w:type="dxa"/>
            <w:vAlign w:val="bottom"/>
          </w:tcPr>
          <w:p>
            <w:pPr>
              <w:spacing w:after="0"/>
              <w:rPr>
                <w:sz w:val="11"/>
                <w:szCs w:val="11"/>
                <w:color w:val="auto"/>
              </w:rPr>
            </w:pPr>
          </w:p>
        </w:tc>
        <w:tc>
          <w:tcPr>
            <w:tcW w:w="760" w:type="dxa"/>
            <w:vAlign w:val="bottom"/>
            <w:gridSpan w:val="2"/>
          </w:tcPr>
          <w:p>
            <w:pPr>
              <w:ind w:left="180"/>
              <w:spacing w:after="0" w:line="128" w:lineRule="exact"/>
              <w:rPr>
                <w:sz w:val="20"/>
                <w:szCs w:val="20"/>
                <w:color w:val="auto"/>
              </w:rPr>
            </w:pPr>
            <w:r>
              <w:rPr>
                <w:rFonts w:ascii="Arial" w:cs="Arial" w:eastAsia="Arial" w:hAnsi="Arial"/>
                <w:sz w:val="13"/>
                <w:szCs w:val="13"/>
                <w:color w:val="0000FF"/>
              </w:rPr>
              <w:t>D</w:t>
            </w:r>
          </w:p>
        </w:tc>
        <w:tc>
          <w:tcPr>
            <w:tcW w:w="1000" w:type="dxa"/>
            <w:vAlign w:val="bottom"/>
          </w:tcPr>
          <w:p>
            <w:pPr>
              <w:jc w:val="center"/>
              <w:ind w:left="258"/>
              <w:spacing w:after="0" w:line="128" w:lineRule="exact"/>
              <w:rPr>
                <w:sz w:val="20"/>
                <w:szCs w:val="20"/>
                <w:color w:val="auto"/>
              </w:rPr>
            </w:pPr>
            <w:r>
              <w:rPr>
                <w:rFonts w:ascii="Arial" w:cs="Arial" w:eastAsia="Arial" w:hAnsi="Arial"/>
                <w:sz w:val="13"/>
                <w:szCs w:val="13"/>
                <w:color w:val="0000FF"/>
                <w:w w:val="93"/>
              </w:rPr>
              <w:t>575,000</w:t>
            </w:r>
          </w:p>
        </w:tc>
        <w:tc>
          <w:tcPr>
            <w:tcW w:w="880" w:type="dxa"/>
            <w:vAlign w:val="bottom"/>
            <w:gridSpan w:val="2"/>
            <w:vMerge w:val="continue"/>
          </w:tcPr>
          <w:p>
            <w:pPr>
              <w:spacing w:after="0"/>
              <w:rPr>
                <w:sz w:val="11"/>
                <w:szCs w:val="11"/>
                <w:color w:val="auto"/>
              </w:rPr>
            </w:pPr>
          </w:p>
        </w:tc>
        <w:tc>
          <w:tcPr>
            <w:tcW w:w="740" w:type="dxa"/>
            <w:vAlign w:val="bottom"/>
          </w:tcPr>
          <w:p>
            <w:pPr>
              <w:jc w:val="center"/>
              <w:ind w:right="73"/>
              <w:spacing w:after="0" w:line="128" w:lineRule="exact"/>
              <w:rPr>
                <w:sz w:val="20"/>
                <w:szCs w:val="20"/>
                <w:color w:val="auto"/>
              </w:rPr>
            </w:pPr>
            <w:r>
              <w:rPr>
                <w:rFonts w:ascii="Arial" w:cs="Arial" w:eastAsia="Arial" w:hAnsi="Arial"/>
                <w:sz w:val="13"/>
                <w:szCs w:val="13"/>
                <w:color w:val="0000FF"/>
                <w:w w:val="92"/>
              </w:rPr>
              <w:t>11/12/2017</w:t>
            </w:r>
          </w:p>
        </w:tc>
        <w:tc>
          <w:tcPr>
            <w:tcW w:w="6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ind w:left="380"/>
              <w:spacing w:after="0" w:line="12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11"/>
                <w:szCs w:val="11"/>
                <w:color w:val="auto"/>
              </w:rPr>
            </w:pPr>
          </w:p>
        </w:tc>
        <w:tc>
          <w:tcPr>
            <w:tcW w:w="540" w:type="dxa"/>
            <w:vAlign w:val="bottom"/>
          </w:tcPr>
          <w:p>
            <w:pPr>
              <w:ind w:left="380"/>
              <w:spacing w:after="0" w:line="128"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3"/>
              <w:spacing w:after="0" w:line="145"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gridSpan w:val="2"/>
            <w:vMerge w:val="restart"/>
          </w:tcPr>
          <w:p>
            <w:pPr>
              <w:jc w:val="center"/>
              <w:ind w:right="57"/>
              <w:spacing w:after="0"/>
              <w:rPr>
                <w:sz w:val="20"/>
                <w:szCs w:val="20"/>
                <w:color w:val="auto"/>
              </w:rPr>
            </w:pP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90,000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color w:val="008000"/>
                <w:w w:val="91"/>
              </w:rPr>
              <w:t>(10)</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81"/>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14.03</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10/01/2009</w:t>
            </w:r>
          </w:p>
        </w:tc>
        <w:tc>
          <w:tcPr>
            <w:tcW w:w="1100" w:type="dxa"/>
            <w:vAlign w:val="bottom"/>
          </w:tcPr>
          <w:p>
            <w:pPr>
              <w:spacing w:after="0"/>
              <w:rPr>
                <w:sz w:val="5"/>
                <w:szCs w:val="5"/>
                <w:color w:val="auto"/>
              </w:rPr>
            </w:pPr>
          </w:p>
        </w:tc>
        <w:tc>
          <w:tcPr>
            <w:tcW w:w="760" w:type="dxa"/>
            <w:vAlign w:val="bottom"/>
            <w:gridSpan w:val="2"/>
            <w:vMerge w:val="restart"/>
          </w:tcPr>
          <w:p>
            <w:pPr>
              <w:ind w:left="180"/>
              <w:spacing w:after="0" w:line="145" w:lineRule="exact"/>
              <w:rPr>
                <w:sz w:val="20"/>
                <w:szCs w:val="20"/>
                <w:color w:val="auto"/>
              </w:rPr>
            </w:pPr>
            <w:r>
              <w:rPr>
                <w:rFonts w:ascii="Arial" w:cs="Arial" w:eastAsia="Arial" w:hAnsi="Arial"/>
                <w:sz w:val="13"/>
                <w:szCs w:val="13"/>
                <w:color w:val="0000FF"/>
              </w:rPr>
              <w:t>D</w:t>
            </w:r>
          </w:p>
        </w:tc>
        <w:tc>
          <w:tcPr>
            <w:tcW w:w="1000" w:type="dxa"/>
            <w:vAlign w:val="bottom"/>
            <w:vMerge w:val="restart"/>
          </w:tcPr>
          <w:p>
            <w:pPr>
              <w:jc w:val="center"/>
              <w:ind w:left="258"/>
              <w:spacing w:after="0" w:line="145" w:lineRule="exact"/>
              <w:rPr>
                <w:sz w:val="20"/>
                <w:szCs w:val="20"/>
                <w:color w:val="auto"/>
              </w:rPr>
            </w:pPr>
            <w:r>
              <w:rPr>
                <w:rFonts w:ascii="Arial" w:cs="Arial" w:eastAsia="Arial" w:hAnsi="Arial"/>
                <w:sz w:val="13"/>
                <w:szCs w:val="13"/>
                <w:color w:val="0000FF"/>
                <w:w w:val="90"/>
              </w:rPr>
              <w:t>90,000</w:t>
            </w:r>
          </w:p>
        </w:tc>
        <w:tc>
          <w:tcPr>
            <w:tcW w:w="880" w:type="dxa"/>
            <w:vAlign w:val="bottom"/>
            <w:gridSpan w:val="2"/>
            <w:vMerge w:val="continue"/>
          </w:tcPr>
          <w:p>
            <w:pPr>
              <w:spacing w:after="0"/>
              <w:rPr>
                <w:sz w:val="5"/>
                <w:szCs w:val="5"/>
                <w:color w:val="auto"/>
              </w:rPr>
            </w:pPr>
          </w:p>
        </w:tc>
        <w:tc>
          <w:tcPr>
            <w:tcW w:w="740" w:type="dxa"/>
            <w:vAlign w:val="bottom"/>
            <w:vMerge w:val="restart"/>
          </w:tcPr>
          <w:p>
            <w:pPr>
              <w:jc w:val="center"/>
              <w:ind w:right="73"/>
              <w:spacing w:after="0" w:line="145" w:lineRule="exact"/>
              <w:rPr>
                <w:sz w:val="20"/>
                <w:szCs w:val="20"/>
                <w:color w:val="auto"/>
              </w:rPr>
            </w:pPr>
            <w:r>
              <w:rPr>
                <w:rFonts w:ascii="Arial" w:cs="Arial" w:eastAsia="Arial" w:hAnsi="Arial"/>
                <w:sz w:val="13"/>
                <w:szCs w:val="13"/>
                <w:color w:val="0000FF"/>
                <w:w w:val="92"/>
              </w:rPr>
              <w:t>11/21/2018</w:t>
            </w: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4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101"/>
              <w:spacing w:after="0"/>
              <w:rPr>
                <w:sz w:val="20"/>
                <w:szCs w:val="20"/>
                <w:color w:val="auto"/>
              </w:rPr>
            </w:pPr>
            <w:r>
              <w:rPr>
                <w:rFonts w:ascii="Arial" w:cs="Arial" w:eastAsia="Arial" w:hAnsi="Arial"/>
                <w:sz w:val="11"/>
                <w:szCs w:val="11"/>
                <w:color w:val="008000"/>
                <w:w w:val="91"/>
              </w:rPr>
              <w:t>(11)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2"/>
            <w:vMerge w:val="restart"/>
          </w:tcPr>
          <w:p>
            <w:pPr>
              <w:jc w:val="center"/>
              <w:ind w:right="77"/>
              <w:spacing w:after="0"/>
              <w:rPr>
                <w:sz w:val="20"/>
                <w:szCs w:val="20"/>
                <w:color w:val="auto"/>
              </w:rPr>
            </w:pPr>
            <w:r>
              <w:rPr>
                <w:rFonts w:ascii="Arial" w:cs="Arial" w:eastAsia="Arial" w:hAnsi="Arial"/>
                <w:sz w:val="11"/>
                <w:szCs w:val="11"/>
                <w:color w:val="008000"/>
                <w:w w:val="91"/>
              </w:rPr>
              <w:t>(11)</w:t>
            </w:r>
          </w:p>
        </w:tc>
        <w:tc>
          <w:tcPr>
            <w:tcW w:w="740" w:type="dxa"/>
            <w:vAlign w:val="bottom"/>
            <w:vMerge w:val="restart"/>
          </w:tcPr>
          <w:p>
            <w:pPr>
              <w:jc w:val="center"/>
              <w:ind w:right="53"/>
              <w:spacing w:after="0"/>
              <w:rPr>
                <w:sz w:val="20"/>
                <w:szCs w:val="20"/>
                <w:color w:val="auto"/>
              </w:rPr>
            </w:pPr>
            <w:r>
              <w:rPr>
                <w:rFonts w:ascii="Arial" w:cs="Arial" w:eastAsia="Arial" w:hAnsi="Arial"/>
                <w:sz w:val="11"/>
                <w:szCs w:val="11"/>
                <w:color w:val="008000"/>
                <w:w w:val="91"/>
              </w:rPr>
              <w:t>(11)</w:t>
            </w: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1,250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color w:val="008000"/>
                <w:w w:val="91"/>
              </w:rPr>
              <w:t>(11)</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10/01/2009</w:t>
            </w:r>
          </w:p>
        </w:tc>
        <w:tc>
          <w:tcPr>
            <w:tcW w:w="1100" w:type="dxa"/>
            <w:vAlign w:val="bottom"/>
          </w:tcPr>
          <w:p>
            <w:pPr>
              <w:spacing w:after="0"/>
              <w:rPr>
                <w:sz w:val="5"/>
                <w:szCs w:val="5"/>
                <w:color w:val="auto"/>
              </w:rPr>
            </w:pPr>
          </w:p>
        </w:tc>
        <w:tc>
          <w:tcPr>
            <w:tcW w:w="760" w:type="dxa"/>
            <w:vAlign w:val="bottom"/>
            <w:gridSpan w:val="2"/>
            <w:vMerge w:val="restart"/>
          </w:tcPr>
          <w:p>
            <w:pPr>
              <w:ind w:left="180"/>
              <w:spacing w:after="0" w:line="145" w:lineRule="exact"/>
              <w:rPr>
                <w:sz w:val="20"/>
                <w:szCs w:val="20"/>
                <w:color w:val="auto"/>
              </w:rPr>
            </w:pPr>
            <w:r>
              <w:rPr>
                <w:rFonts w:ascii="Arial" w:cs="Arial" w:eastAsia="Arial" w:hAnsi="Arial"/>
                <w:sz w:val="13"/>
                <w:szCs w:val="13"/>
                <w:color w:val="0000FF"/>
              </w:rPr>
              <w:t>D</w:t>
            </w:r>
          </w:p>
        </w:tc>
        <w:tc>
          <w:tcPr>
            <w:tcW w:w="1000" w:type="dxa"/>
            <w:vAlign w:val="bottom"/>
            <w:vMerge w:val="restart"/>
          </w:tcPr>
          <w:p>
            <w:pPr>
              <w:jc w:val="center"/>
              <w:ind w:left="258"/>
              <w:spacing w:after="0" w:line="145" w:lineRule="exact"/>
              <w:rPr>
                <w:sz w:val="20"/>
                <w:szCs w:val="20"/>
                <w:color w:val="auto"/>
              </w:rPr>
            </w:pPr>
            <w:r>
              <w:rPr>
                <w:rFonts w:ascii="Arial" w:cs="Arial" w:eastAsia="Arial" w:hAnsi="Arial"/>
                <w:sz w:val="13"/>
                <w:szCs w:val="13"/>
                <w:color w:val="0000FF"/>
                <w:w w:val="85"/>
              </w:rPr>
              <w:t>1,250</w:t>
            </w:r>
          </w:p>
        </w:tc>
        <w:tc>
          <w:tcPr>
            <w:tcW w:w="8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4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101"/>
              <w:spacing w:after="0"/>
              <w:rPr>
                <w:sz w:val="20"/>
                <w:szCs w:val="20"/>
                <w:color w:val="auto"/>
              </w:rPr>
            </w:pPr>
            <w:r>
              <w:rPr>
                <w:rFonts w:ascii="Arial" w:cs="Arial" w:eastAsia="Arial" w:hAnsi="Arial"/>
                <w:sz w:val="11"/>
                <w:szCs w:val="11"/>
                <w:color w:val="008000"/>
                <w:w w:val="91"/>
              </w:rPr>
              <w:t>(12)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2"/>
            <w:vMerge w:val="restart"/>
          </w:tcPr>
          <w:p>
            <w:pPr>
              <w:jc w:val="center"/>
              <w:ind w:right="57"/>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center"/>
              <w:ind w:right="73"/>
              <w:spacing w:after="0"/>
              <w:rPr>
                <w:sz w:val="20"/>
                <w:szCs w:val="20"/>
                <w:color w:val="auto"/>
              </w:rPr>
            </w:pPr>
            <w:r>
              <w:rPr>
                <w:rFonts w:ascii="Arial" w:cs="Arial" w:eastAsia="Arial" w:hAnsi="Arial"/>
                <w:sz w:val="11"/>
                <w:szCs w:val="11"/>
                <w:color w:val="008000"/>
              </w:rPr>
              <w:t>(12)</w:t>
            </w: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4"/>
              </w:rPr>
              <w:t>60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color w:val="008000"/>
                <w:w w:val="91"/>
              </w:rPr>
              <w:t>(12)</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10/01/2009</w:t>
            </w:r>
          </w:p>
        </w:tc>
        <w:tc>
          <w:tcPr>
            <w:tcW w:w="1100" w:type="dxa"/>
            <w:vAlign w:val="bottom"/>
          </w:tcPr>
          <w:p>
            <w:pPr>
              <w:spacing w:after="0"/>
              <w:rPr>
                <w:sz w:val="5"/>
                <w:szCs w:val="5"/>
                <w:color w:val="auto"/>
              </w:rPr>
            </w:pPr>
          </w:p>
        </w:tc>
        <w:tc>
          <w:tcPr>
            <w:tcW w:w="760" w:type="dxa"/>
            <w:vAlign w:val="bottom"/>
            <w:gridSpan w:val="2"/>
            <w:vMerge w:val="restart"/>
          </w:tcPr>
          <w:p>
            <w:pPr>
              <w:ind w:left="180"/>
              <w:spacing w:after="0" w:line="145" w:lineRule="exact"/>
              <w:rPr>
                <w:sz w:val="20"/>
                <w:szCs w:val="20"/>
                <w:color w:val="auto"/>
              </w:rPr>
            </w:pPr>
            <w:r>
              <w:rPr>
                <w:rFonts w:ascii="Arial" w:cs="Arial" w:eastAsia="Arial" w:hAnsi="Arial"/>
                <w:sz w:val="13"/>
                <w:szCs w:val="13"/>
                <w:color w:val="0000FF"/>
              </w:rPr>
              <w:t>D</w:t>
            </w:r>
          </w:p>
        </w:tc>
        <w:tc>
          <w:tcPr>
            <w:tcW w:w="1000" w:type="dxa"/>
            <w:vAlign w:val="bottom"/>
            <w:vMerge w:val="restart"/>
          </w:tcPr>
          <w:p>
            <w:pPr>
              <w:jc w:val="center"/>
              <w:ind w:left="258"/>
              <w:spacing w:after="0" w:line="145" w:lineRule="exact"/>
              <w:rPr>
                <w:sz w:val="20"/>
                <w:szCs w:val="20"/>
                <w:color w:val="auto"/>
              </w:rPr>
            </w:pPr>
            <w:r>
              <w:rPr>
                <w:rFonts w:ascii="Arial" w:cs="Arial" w:eastAsia="Arial" w:hAnsi="Arial"/>
                <w:sz w:val="13"/>
                <w:szCs w:val="13"/>
                <w:color w:val="0000FF"/>
                <w:w w:val="82"/>
              </w:rPr>
              <w:t>60</w:t>
            </w:r>
          </w:p>
        </w:tc>
        <w:tc>
          <w:tcPr>
            <w:tcW w:w="8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4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3"/>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11520"/>
          </w:cols>
          <w:pgMar w:left="240" w:top="223" w:right="139" w:bottom="0" w:gutter="0" w:footer="0" w:header="0"/>
          <w:type w:val="continuous"/>
        </w:sectPr>
      </w:pPr>
    </w:p>
    <w:bookmarkStart w:id="1" w:name="page2"/>
    <w:bookmarkEnd w:id="1"/>
    <w:p>
      <w:pPr>
        <w:jc w:val="both"/>
        <w:ind w:right="160" w:firstLine="5"/>
        <w:spacing w:after="0" w:line="275" w:lineRule="auto"/>
        <w:tabs>
          <w:tab w:leader="none" w:pos="132"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were disposed of on October 1, 2009 (the "Effective Date"), pursuant to the Agreement and Plan of Merger, dated as of March 31, 2009, by and among Fidelity National Information Services, Inc. ("FIS"), Cars Holdings, LLC ("Merger Sub") and Metavante Technologies, Inc. ("Metavante") (the "Merger Agreement"), in exchange for 89,677 shares of FIS common stock having a market value of $24.85 per share, based on the closing price of FIS common stock on the New York Stock Exchange ("NYSE") on the Effective Date of the Merger (as defined below).</w:t>
      </w:r>
    </w:p>
    <w:p>
      <w:pPr>
        <w:spacing w:after="0" w:line="12" w:lineRule="exact"/>
        <w:rPr>
          <w:rFonts w:ascii="Arial" w:cs="Arial" w:eastAsia="Arial" w:hAnsi="Arial"/>
          <w:sz w:val="12"/>
          <w:szCs w:val="12"/>
          <w:color w:val="008000"/>
        </w:rPr>
      </w:pPr>
    </w:p>
    <w:p>
      <w:pPr>
        <w:ind w:firstLine="5"/>
        <w:spacing w:after="0" w:line="257"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shares were disposed of pursuant to the Merger Agreement in exchange for 1,658 shares of FIS common stock having a market value of $24.85 per share, based on the closing price of FIS common stock on the NYSE on the Effective Date of the Merger. The Reporting Person's balance prior to the exchange was based on a plan statement dated September 30, 2009.</w:t>
      </w:r>
    </w:p>
    <w:p>
      <w:pPr>
        <w:spacing w:after="0" w:line="21" w:lineRule="exact"/>
        <w:rPr>
          <w:rFonts w:ascii="Arial" w:cs="Arial" w:eastAsia="Arial" w:hAnsi="Arial"/>
          <w:sz w:val="13"/>
          <w:szCs w:val="13"/>
          <w:color w:val="008000"/>
        </w:rPr>
      </w:pPr>
    </w:p>
    <w:p>
      <w:pPr>
        <w:ind w:right="80" w:firstLine="5"/>
        <w:spacing w:after="0" w:line="257"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shares were disposed of pursuant to the Merger Agreement in exchange for 12,388 shares of FIS common stock having a market value of $24.85 per share, based on the closing price of FIS common stock on the NYSE on the Effective Date of the Merger.</w:t>
      </w:r>
    </w:p>
    <w:p>
      <w:pPr>
        <w:spacing w:after="0" w:line="21" w:lineRule="exact"/>
        <w:rPr>
          <w:rFonts w:ascii="Arial" w:cs="Arial" w:eastAsia="Arial" w:hAnsi="Arial"/>
          <w:sz w:val="13"/>
          <w:szCs w:val="13"/>
          <w:color w:val="008000"/>
        </w:rPr>
      </w:pPr>
    </w:p>
    <w:p>
      <w:pPr>
        <w:ind w:right="80" w:firstLine="5"/>
        <w:spacing w:after="0" w:line="257"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shares were disposed of pursuant to the Merger Agreement in exchange for 664 shares of FIS common stock having a market value of $24.85 per share, based on the closing price of FIS common stock on the NYSE on the Effective Date of the Merger. The Reporting Person's balance prior to the exchange was based on the last plan statement.</w:t>
      </w:r>
    </w:p>
    <w:p>
      <w:pPr>
        <w:spacing w:after="0" w:line="21" w:lineRule="exact"/>
        <w:rPr>
          <w:rFonts w:ascii="Arial" w:cs="Arial" w:eastAsia="Arial" w:hAnsi="Arial"/>
          <w:sz w:val="13"/>
          <w:szCs w:val="13"/>
          <w:color w:val="008000"/>
        </w:rPr>
      </w:pPr>
    </w:p>
    <w:p>
      <w:pPr>
        <w:ind w:left="140" w:hanging="135"/>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This option, which was fully vested on October 27, 2006, was assumed by FIS pursuant to the Merger Agreement and replaced with an option to purchase 71,436 shares of FIS common stock for $14.62 per share.</w:t>
      </w:r>
    </w:p>
    <w:p>
      <w:pPr>
        <w:spacing w:after="0" w:line="70" w:lineRule="exact"/>
        <w:rPr>
          <w:rFonts w:ascii="Arial" w:cs="Arial" w:eastAsia="Arial" w:hAnsi="Arial"/>
          <w:sz w:val="11"/>
          <w:szCs w:val="11"/>
          <w:color w:val="008000"/>
        </w:rPr>
      </w:pPr>
    </w:p>
    <w:p>
      <w:pPr>
        <w:ind w:left="140" w:hanging="135"/>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This option, which was fully vested on October 27, 2007, was assumed by FIS pursuant to the Merger Agreement and replaced with an option to purchase 80,366 shares of FIS common stock for $17.63 per share.</w:t>
      </w:r>
    </w:p>
    <w:p>
      <w:pPr>
        <w:spacing w:after="0" w:line="70" w:lineRule="exact"/>
        <w:rPr>
          <w:rFonts w:ascii="Arial" w:cs="Arial" w:eastAsia="Arial" w:hAnsi="Arial"/>
          <w:sz w:val="11"/>
          <w:szCs w:val="11"/>
          <w:color w:val="008000"/>
        </w:rPr>
      </w:pPr>
    </w:p>
    <w:p>
      <w:pPr>
        <w:ind w:right="100" w:firstLine="5"/>
        <w:spacing w:after="0" w:line="257"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which was fully vested on October 28, 2008, was assumed by FIS pursuant to the Merger Agreement and was replaced with an option to purchase 80,366 shares of FIS common stock for $17.99 per share.</w:t>
      </w:r>
    </w:p>
    <w:p>
      <w:pPr>
        <w:spacing w:after="0" w:line="21" w:lineRule="exact"/>
        <w:rPr>
          <w:rFonts w:ascii="Arial" w:cs="Arial" w:eastAsia="Arial" w:hAnsi="Arial"/>
          <w:sz w:val="13"/>
          <w:szCs w:val="13"/>
          <w:color w:val="008000"/>
        </w:rPr>
      </w:pPr>
    </w:p>
    <w:p>
      <w:pPr>
        <w:ind w:firstLine="5"/>
        <w:spacing w:after="0" w:line="257"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which provided for vesting in three equal annual installments beginning October 30, 2007, was assumed by FIS pursuant to the Merger Agreement and was replaced with an option to purchase 89,295 shares of FIS common stock for $20.20 per share.</w:t>
      </w:r>
    </w:p>
    <w:p>
      <w:pPr>
        <w:spacing w:after="0" w:line="21" w:lineRule="exact"/>
        <w:rPr>
          <w:rFonts w:ascii="Arial" w:cs="Arial" w:eastAsia="Arial" w:hAnsi="Arial"/>
          <w:sz w:val="13"/>
          <w:szCs w:val="13"/>
          <w:color w:val="008000"/>
        </w:rPr>
      </w:pPr>
    </w:p>
    <w:p>
      <w:pPr>
        <w:ind w:right="320" w:firstLine="5"/>
        <w:spacing w:after="0" w:line="257"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which provided for vesting in four equal annual installments beginning November 12, 2007, was assumed by FIS pursuant to the Merger Agreement and was replaced with an option to purchase 776,250 shares of FIS common stock for $17.29 per share.</w:t>
      </w:r>
    </w:p>
    <w:p>
      <w:pPr>
        <w:spacing w:after="0" w:line="21" w:lineRule="exact"/>
        <w:rPr>
          <w:rFonts w:ascii="Arial" w:cs="Arial" w:eastAsia="Arial" w:hAnsi="Arial"/>
          <w:sz w:val="13"/>
          <w:szCs w:val="13"/>
          <w:color w:val="008000"/>
        </w:rPr>
      </w:pPr>
    </w:p>
    <w:p>
      <w:pPr>
        <w:ind w:right="260" w:firstLine="5"/>
        <w:spacing w:after="0" w:line="257" w:lineRule="auto"/>
        <w:tabs>
          <w:tab w:leader="none" w:pos="19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which provided for vesting in four equal annual installments beginning November 21, 2009, was assumed by FIS pursuant to the Merger Agreement and was replaced with an option to purchase 121,500 shares of FIS common stock for $10.40 per share.</w:t>
      </w:r>
    </w:p>
    <w:p>
      <w:pPr>
        <w:spacing w:after="0" w:line="21" w:lineRule="exact"/>
        <w:rPr>
          <w:rFonts w:ascii="Arial" w:cs="Arial" w:eastAsia="Arial" w:hAnsi="Arial"/>
          <w:sz w:val="13"/>
          <w:szCs w:val="13"/>
          <w:color w:val="008000"/>
        </w:rPr>
      </w:pPr>
    </w:p>
    <w:p>
      <w:pPr>
        <w:ind w:right="60" w:firstLine="5"/>
        <w:spacing w:after="0" w:line="244" w:lineRule="auto"/>
        <w:tabs>
          <w:tab w:leader="none" w:pos="19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deferred stock units, each of which was the economic equivalent of one share of Metavante common stock and was payable in cash, were assumed by FIS pursuant to the Merger Agreement and were replaced with deferred stock units related to 1,687 shares of FIS common stock having a market value of $24.85 per share, based on the closing price of FIS common stock on the NYSE on the Effective Date of the Merger.</w:t>
      </w:r>
    </w:p>
    <w:p>
      <w:pPr>
        <w:spacing w:after="0" w:line="30" w:lineRule="exact"/>
        <w:rPr>
          <w:rFonts w:ascii="Arial" w:cs="Arial" w:eastAsia="Arial" w:hAnsi="Arial"/>
          <w:sz w:val="13"/>
          <w:szCs w:val="13"/>
          <w:color w:val="008000"/>
        </w:rPr>
      </w:pPr>
    </w:p>
    <w:p>
      <w:pPr>
        <w:ind w:right="220" w:firstLine="5"/>
        <w:spacing w:after="0" w:line="244" w:lineRule="auto"/>
        <w:tabs>
          <w:tab w:leader="none" w:pos="19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deferred stock units, each of which was the economic equivalent of one share of Metavante common stock and was payable in cash, were assumed by FIS pursuant to the Merger Agreement and were replaced with deferred stock units related to 81 shares of FIS common stock having a market value of $24.85 per share, based on the closing price of FIS common stock on the NYSE on the Effective Date of the Merger.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0"/>
          <w:szCs w:val="20"/>
          <w:color w:val="auto"/>
        </w:rPr>
      </w:pPr>
    </w:p>
    <w:p>
      <w:pPr>
        <w:jc w:val="both"/>
        <w:ind w:right="220"/>
        <w:spacing w:after="0" w:line="275" w:lineRule="auto"/>
        <w:rPr>
          <w:sz w:val="20"/>
          <w:szCs w:val="20"/>
          <w:color w:val="auto"/>
        </w:rPr>
      </w:pPr>
      <w:r>
        <w:rPr>
          <w:rFonts w:ascii="Arial" w:cs="Arial" w:eastAsia="Arial" w:hAnsi="Arial"/>
          <w:sz w:val="12"/>
          <w:szCs w:val="12"/>
          <w:color w:val="008000"/>
        </w:rPr>
        <w:t>On October 1, 2009, Metavante and FIS closed their previously announced transaction whereby Metavante was merged with and into Merger Sub, a wholly-owned subsidiary of FIS (the "Merger"). The separate corporate existence of Metavante ceased upon consummation of the Merger. Pursuant to the Merger Agreement, Metavante shareholders received 1.35 shares of FIS common stock in exchange for each share of Metavante common stock they owned on the Effective Date of the Merger. Shareholders were paid cash in lieu of receiving any fractional shares of FIS common stock.</w:t>
      </w:r>
    </w:p>
    <w:p>
      <w:pPr>
        <w:spacing w:after="0" w:line="23"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Stacey A. Lombardi, as</w:t>
            </w:r>
          </w:p>
        </w:tc>
        <w:tc>
          <w:tcPr>
            <w:tcW w:w="4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10/02/2009</w:t>
            </w:r>
          </w:p>
        </w:tc>
        <w:tc>
          <w:tcPr>
            <w:tcW w:w="0" w:type="dxa"/>
            <w:vAlign w:val="bottom"/>
          </w:tcPr>
          <w:p>
            <w:pPr>
              <w:spacing w:after="0"/>
              <w:rPr>
                <w:sz w:val="1"/>
                <w:szCs w:val="1"/>
                <w:color w:val="auto"/>
              </w:rPr>
            </w:pPr>
          </w:p>
        </w:tc>
      </w:tr>
      <w:tr>
        <w:trPr>
          <w:trHeight w:val="90"/>
        </w:trPr>
        <w:tc>
          <w:tcPr>
            <w:tcW w:w="2280" w:type="dxa"/>
            <w:vAlign w:val="bottom"/>
            <w:gridSpan w:val="3"/>
            <w:vMerge w:val="restart"/>
          </w:tcPr>
          <w:p>
            <w:pPr>
              <w:spacing w:after="0" w:line="190" w:lineRule="exact"/>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700" w:firstLine="5"/>
        <w:spacing w:after="0" w:line="315" w:lineRule="auto"/>
        <w:tabs>
          <w:tab w:leader="none" w:pos="13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4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6331" TargetMode="External"/><Relationship Id="rId13" Type="http://schemas.openxmlformats.org/officeDocument/2006/relationships/hyperlink" Target="http://www.sec.gov/cgi-bin/browse-edgar?action=getcompany&amp;CIK=0001399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2019-12-16T22:54:52Z</dcterms:created>
  <dcterms:modified xsi:type="dcterms:W3CDTF">2019-12-16T22:54:52Z</dcterms:modified>
</cp:coreProperties>
</file>