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8372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3724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KELLNER TED 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4900 WEST BROWN DEER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Metavante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MV</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10/01/2009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4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10/01/2009</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57,815</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48"/>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10/01/2009</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16,666</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48"/>
              <w:spacing w:after="0"/>
              <w:rPr>
                <w:sz w:val="20"/>
                <w:szCs w:val="20"/>
                <w:color w:val="auto"/>
              </w:rPr>
            </w:pPr>
            <w:r>
              <w:rPr>
                <w:rFonts w:ascii="Arial" w:cs="Arial" w:eastAsia="Arial" w:hAnsi="Arial"/>
                <w:sz w:val="11"/>
                <w:szCs w:val="11"/>
                <w:color w:val="008000"/>
              </w:rPr>
              <w:t>(2)</w:t>
            </w:r>
          </w:p>
        </w:tc>
        <w:tc>
          <w:tcPr>
            <w:tcW w:w="78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82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80" w:type="dxa"/>
            <w:vAlign w:val="bottom"/>
            <w:gridSpan w:val="2"/>
          </w:tcPr>
          <w:p>
            <w:pPr>
              <w:jc w:val="center"/>
              <w:ind w:righ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04/25/2000</w:t>
            </w:r>
            <w:r>
              <w:rPr>
                <w:rFonts w:ascii="Arial" w:cs="Arial" w:eastAsia="Arial" w:hAnsi="Arial"/>
                <w:sz w:val="22"/>
                <w:szCs w:val="22"/>
                <w:color w:val="008000"/>
                <w:w w:val="89"/>
                <w:vertAlign w:val="superscript"/>
              </w:rPr>
              <w:t>(3)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6,614</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14.3</w:t>
            </w:r>
          </w:p>
        </w:tc>
        <w:tc>
          <w:tcPr>
            <w:tcW w:w="1080" w:type="dxa"/>
            <w:vAlign w:val="bottom"/>
          </w:tcPr>
          <w:p>
            <w:pPr>
              <w:jc w:val="center"/>
              <w:spacing w:after="0" w:line="145" w:lineRule="exact"/>
              <w:rPr>
                <w:sz w:val="20"/>
                <w:szCs w:val="20"/>
                <w:color w:val="auto"/>
              </w:rPr>
            </w:pPr>
            <w:r>
              <w:rPr>
                <w:rFonts w:ascii="Arial" w:cs="Arial" w:eastAsia="Arial" w:hAnsi="Arial"/>
                <w:sz w:val="13"/>
                <w:szCs w:val="13"/>
                <w:color w:val="0000FF"/>
                <w:w w:val="95"/>
              </w:rPr>
              <w:t>10/01/2009</w:t>
            </w:r>
          </w:p>
        </w:tc>
        <w:tc>
          <w:tcPr>
            <w:tcW w:w="1180" w:type="dxa"/>
            <w:vAlign w:val="bottom"/>
          </w:tcPr>
          <w:p>
            <w:pPr>
              <w:spacing w:after="0"/>
              <w:rPr>
                <w:sz w:val="12"/>
                <w:szCs w:val="12"/>
                <w:color w:val="auto"/>
              </w:rPr>
            </w:pPr>
          </w:p>
        </w:tc>
        <w:tc>
          <w:tcPr>
            <w:tcW w:w="760" w:type="dxa"/>
            <w:vAlign w:val="bottom"/>
          </w:tcPr>
          <w:p>
            <w:pPr>
              <w:ind w:left="180"/>
              <w:spacing w:after="0" w:line="145" w:lineRule="exact"/>
              <w:rPr>
                <w:sz w:val="20"/>
                <w:szCs w:val="20"/>
                <w:color w:val="auto"/>
              </w:rPr>
            </w:pPr>
            <w:r>
              <w:rPr>
                <w:rFonts w:ascii="Arial" w:cs="Arial" w:eastAsia="Arial" w:hAnsi="Arial"/>
                <w:sz w:val="13"/>
                <w:szCs w:val="13"/>
                <w:color w:val="0000FF"/>
              </w:rPr>
              <w:t>D</w:t>
            </w:r>
          </w:p>
        </w:tc>
        <w:tc>
          <w:tcPr>
            <w:tcW w:w="840" w:type="dxa"/>
            <w:vAlign w:val="bottom"/>
          </w:tcPr>
          <w:p>
            <w:pPr>
              <w:ind w:left="480"/>
              <w:spacing w:after="0" w:line="145" w:lineRule="exact"/>
              <w:rPr>
                <w:sz w:val="20"/>
                <w:szCs w:val="20"/>
                <w:color w:val="auto"/>
              </w:rPr>
            </w:pPr>
            <w:r>
              <w:rPr>
                <w:rFonts w:ascii="Arial" w:cs="Arial" w:eastAsia="Arial" w:hAnsi="Arial"/>
                <w:sz w:val="13"/>
                <w:szCs w:val="13"/>
                <w:color w:val="0000FF"/>
              </w:rPr>
              <w:t>6,614</w:t>
            </w:r>
          </w:p>
        </w:tc>
        <w:tc>
          <w:tcPr>
            <w:tcW w:w="960" w:type="dxa"/>
            <w:vAlign w:val="bottom"/>
            <w:gridSpan w:val="2"/>
            <w:vMerge w:val="continue"/>
          </w:tcPr>
          <w:p>
            <w:pPr>
              <w:spacing w:after="0"/>
              <w:rPr>
                <w:sz w:val="12"/>
                <w:szCs w:val="12"/>
                <w:color w:val="auto"/>
              </w:rPr>
            </w:pPr>
          </w:p>
        </w:tc>
        <w:tc>
          <w:tcPr>
            <w:tcW w:w="68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04/25/2010</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ind w:left="38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04/22/2003</w:t>
            </w:r>
            <w:r>
              <w:rPr>
                <w:rFonts w:ascii="Arial" w:cs="Arial" w:eastAsia="Arial" w:hAnsi="Arial"/>
                <w:sz w:val="22"/>
                <w:szCs w:val="22"/>
                <w:color w:val="008000"/>
                <w:w w:val="89"/>
                <w:vertAlign w:val="superscript"/>
              </w:rPr>
              <w:t>(4)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6,614</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(4)</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16.6</w:t>
            </w:r>
          </w:p>
        </w:tc>
        <w:tc>
          <w:tcPr>
            <w:tcW w:w="1080" w:type="dxa"/>
            <w:vAlign w:val="bottom"/>
          </w:tcPr>
          <w:p>
            <w:pPr>
              <w:jc w:val="center"/>
              <w:spacing w:after="0" w:line="145" w:lineRule="exact"/>
              <w:rPr>
                <w:sz w:val="20"/>
                <w:szCs w:val="20"/>
                <w:color w:val="auto"/>
              </w:rPr>
            </w:pPr>
            <w:r>
              <w:rPr>
                <w:rFonts w:ascii="Arial" w:cs="Arial" w:eastAsia="Arial" w:hAnsi="Arial"/>
                <w:sz w:val="13"/>
                <w:szCs w:val="13"/>
                <w:color w:val="0000FF"/>
                <w:w w:val="95"/>
              </w:rPr>
              <w:t>10/01/2009</w:t>
            </w:r>
          </w:p>
        </w:tc>
        <w:tc>
          <w:tcPr>
            <w:tcW w:w="1180" w:type="dxa"/>
            <w:vAlign w:val="bottom"/>
          </w:tcPr>
          <w:p>
            <w:pPr>
              <w:spacing w:after="0"/>
              <w:rPr>
                <w:sz w:val="12"/>
                <w:szCs w:val="12"/>
                <w:color w:val="auto"/>
              </w:rPr>
            </w:pPr>
          </w:p>
        </w:tc>
        <w:tc>
          <w:tcPr>
            <w:tcW w:w="760" w:type="dxa"/>
            <w:vAlign w:val="bottom"/>
          </w:tcPr>
          <w:p>
            <w:pPr>
              <w:ind w:left="180"/>
              <w:spacing w:after="0" w:line="145" w:lineRule="exact"/>
              <w:rPr>
                <w:sz w:val="20"/>
                <w:szCs w:val="20"/>
                <w:color w:val="auto"/>
              </w:rPr>
            </w:pPr>
            <w:r>
              <w:rPr>
                <w:rFonts w:ascii="Arial" w:cs="Arial" w:eastAsia="Arial" w:hAnsi="Arial"/>
                <w:sz w:val="13"/>
                <w:szCs w:val="13"/>
                <w:color w:val="0000FF"/>
              </w:rPr>
              <w:t>D</w:t>
            </w:r>
          </w:p>
        </w:tc>
        <w:tc>
          <w:tcPr>
            <w:tcW w:w="840" w:type="dxa"/>
            <w:vAlign w:val="bottom"/>
          </w:tcPr>
          <w:p>
            <w:pPr>
              <w:ind w:left="480"/>
              <w:spacing w:after="0" w:line="145" w:lineRule="exact"/>
              <w:rPr>
                <w:sz w:val="20"/>
                <w:szCs w:val="20"/>
                <w:color w:val="auto"/>
              </w:rPr>
            </w:pPr>
            <w:r>
              <w:rPr>
                <w:rFonts w:ascii="Arial" w:cs="Arial" w:eastAsia="Arial" w:hAnsi="Arial"/>
                <w:sz w:val="13"/>
                <w:szCs w:val="13"/>
                <w:color w:val="0000FF"/>
              </w:rPr>
              <w:t>6,614</w:t>
            </w:r>
          </w:p>
        </w:tc>
        <w:tc>
          <w:tcPr>
            <w:tcW w:w="960" w:type="dxa"/>
            <w:vAlign w:val="bottom"/>
            <w:gridSpan w:val="2"/>
            <w:vMerge w:val="continue"/>
          </w:tcPr>
          <w:p>
            <w:pPr>
              <w:spacing w:after="0"/>
              <w:rPr>
                <w:sz w:val="12"/>
                <w:szCs w:val="12"/>
                <w:color w:val="auto"/>
              </w:rPr>
            </w:pPr>
          </w:p>
        </w:tc>
        <w:tc>
          <w:tcPr>
            <w:tcW w:w="68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04/22/2013</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ind w:left="38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04/25/2006</w:t>
            </w:r>
            <w:r>
              <w:rPr>
                <w:rFonts w:ascii="Arial" w:cs="Arial" w:eastAsia="Arial" w:hAnsi="Arial"/>
                <w:sz w:val="22"/>
                <w:szCs w:val="22"/>
                <w:color w:val="008000"/>
                <w:w w:val="89"/>
                <w:vertAlign w:val="superscript"/>
              </w:rPr>
              <w:t>(5)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6,614</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24.9</w:t>
            </w:r>
          </w:p>
        </w:tc>
        <w:tc>
          <w:tcPr>
            <w:tcW w:w="1080" w:type="dxa"/>
            <w:vAlign w:val="bottom"/>
          </w:tcPr>
          <w:p>
            <w:pPr>
              <w:jc w:val="center"/>
              <w:spacing w:after="0" w:line="145" w:lineRule="exact"/>
              <w:rPr>
                <w:sz w:val="20"/>
                <w:szCs w:val="20"/>
                <w:color w:val="auto"/>
              </w:rPr>
            </w:pPr>
            <w:r>
              <w:rPr>
                <w:rFonts w:ascii="Arial" w:cs="Arial" w:eastAsia="Arial" w:hAnsi="Arial"/>
                <w:sz w:val="13"/>
                <w:szCs w:val="13"/>
                <w:color w:val="0000FF"/>
                <w:w w:val="95"/>
              </w:rPr>
              <w:t>10/01/2009</w:t>
            </w:r>
          </w:p>
        </w:tc>
        <w:tc>
          <w:tcPr>
            <w:tcW w:w="1180" w:type="dxa"/>
            <w:vAlign w:val="bottom"/>
          </w:tcPr>
          <w:p>
            <w:pPr>
              <w:spacing w:after="0"/>
              <w:rPr>
                <w:sz w:val="12"/>
                <w:szCs w:val="12"/>
                <w:color w:val="auto"/>
              </w:rPr>
            </w:pPr>
          </w:p>
        </w:tc>
        <w:tc>
          <w:tcPr>
            <w:tcW w:w="760" w:type="dxa"/>
            <w:vAlign w:val="bottom"/>
          </w:tcPr>
          <w:p>
            <w:pPr>
              <w:ind w:left="180"/>
              <w:spacing w:after="0" w:line="145" w:lineRule="exact"/>
              <w:rPr>
                <w:sz w:val="20"/>
                <w:szCs w:val="20"/>
                <w:color w:val="auto"/>
              </w:rPr>
            </w:pPr>
            <w:r>
              <w:rPr>
                <w:rFonts w:ascii="Arial" w:cs="Arial" w:eastAsia="Arial" w:hAnsi="Arial"/>
                <w:sz w:val="13"/>
                <w:szCs w:val="13"/>
                <w:color w:val="0000FF"/>
              </w:rPr>
              <w:t>D</w:t>
            </w:r>
          </w:p>
        </w:tc>
        <w:tc>
          <w:tcPr>
            <w:tcW w:w="840" w:type="dxa"/>
            <w:vAlign w:val="bottom"/>
          </w:tcPr>
          <w:p>
            <w:pPr>
              <w:ind w:left="480"/>
              <w:spacing w:after="0" w:line="145" w:lineRule="exact"/>
              <w:rPr>
                <w:sz w:val="20"/>
                <w:szCs w:val="20"/>
                <w:color w:val="auto"/>
              </w:rPr>
            </w:pPr>
            <w:r>
              <w:rPr>
                <w:rFonts w:ascii="Arial" w:cs="Arial" w:eastAsia="Arial" w:hAnsi="Arial"/>
                <w:sz w:val="13"/>
                <w:szCs w:val="13"/>
                <w:color w:val="0000FF"/>
              </w:rPr>
              <w:t>6,614</w:t>
            </w:r>
          </w:p>
        </w:tc>
        <w:tc>
          <w:tcPr>
            <w:tcW w:w="960" w:type="dxa"/>
            <w:vAlign w:val="bottom"/>
            <w:gridSpan w:val="2"/>
            <w:vMerge w:val="continue"/>
          </w:tcPr>
          <w:p>
            <w:pPr>
              <w:spacing w:after="0"/>
              <w:rPr>
                <w:sz w:val="12"/>
                <w:szCs w:val="12"/>
                <w:color w:val="auto"/>
              </w:rPr>
            </w:pPr>
          </w:p>
        </w:tc>
        <w:tc>
          <w:tcPr>
            <w:tcW w:w="68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04/25/2016</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ind w:left="38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center"/>
              <w:ind w:right="240"/>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7,100</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(6)</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24.31</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10/01/2009</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D</w:t>
            </w:r>
          </w:p>
        </w:tc>
        <w:tc>
          <w:tcPr>
            <w:tcW w:w="840" w:type="dxa"/>
            <w:vAlign w:val="bottom"/>
          </w:tcPr>
          <w:p>
            <w:pPr>
              <w:ind w:left="480"/>
              <w:spacing w:after="0" w:line="132" w:lineRule="exact"/>
              <w:rPr>
                <w:sz w:val="20"/>
                <w:szCs w:val="20"/>
                <w:color w:val="auto"/>
              </w:rPr>
            </w:pPr>
            <w:r>
              <w:rPr>
                <w:rFonts w:ascii="Arial" w:cs="Arial" w:eastAsia="Arial" w:hAnsi="Arial"/>
                <w:sz w:val="13"/>
                <w:szCs w:val="13"/>
                <w:color w:val="0000FF"/>
              </w:rPr>
              <w:t>7,100</w:t>
            </w: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5"/>
              </w:rPr>
              <w:t>12/06/2017</w:t>
            </w: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center"/>
              <w:ind w:right="240"/>
              <w:spacing w:after="0"/>
              <w:rPr>
                <w:sz w:val="20"/>
                <w:szCs w:val="20"/>
                <w:color w:val="auto"/>
              </w:rPr>
            </w:pPr>
            <w:r>
              <w:rPr>
                <w:rFonts w:ascii="Arial" w:cs="Arial" w:eastAsia="Arial" w:hAnsi="Arial"/>
                <w:sz w:val="11"/>
                <w:szCs w:val="11"/>
                <w:color w:val="008000"/>
              </w:rPr>
              <w:t>(7)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6,100</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(7)</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14.03</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10/01/2009</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D</w:t>
            </w:r>
          </w:p>
        </w:tc>
        <w:tc>
          <w:tcPr>
            <w:tcW w:w="840" w:type="dxa"/>
            <w:vAlign w:val="bottom"/>
          </w:tcPr>
          <w:p>
            <w:pPr>
              <w:ind w:left="480"/>
              <w:spacing w:after="0" w:line="132" w:lineRule="exact"/>
              <w:rPr>
                <w:sz w:val="20"/>
                <w:szCs w:val="20"/>
                <w:color w:val="auto"/>
              </w:rPr>
            </w:pPr>
            <w:r>
              <w:rPr>
                <w:rFonts w:ascii="Arial" w:cs="Arial" w:eastAsia="Arial" w:hAnsi="Arial"/>
                <w:sz w:val="13"/>
                <w:szCs w:val="13"/>
                <w:color w:val="0000FF"/>
              </w:rPr>
              <w:t>6,100</w:t>
            </w: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5"/>
              </w:rPr>
              <w:t>11/21/2018</w:t>
            </w: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center"/>
              <w:ind w:right="240"/>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16"/>
                <w:szCs w:val="16"/>
                <w:color w:val="auto"/>
              </w:rPr>
            </w:pPr>
          </w:p>
        </w:tc>
        <w:tc>
          <w:tcPr>
            <w:tcW w:w="560" w:type="dxa"/>
            <w:vAlign w:val="bottom"/>
            <w:vMerge w:val="restart"/>
          </w:tcPr>
          <w:p>
            <w:pPr>
              <w:jc w:val="center"/>
              <w:ind w:right="114"/>
              <w:spacing w:after="0"/>
              <w:rPr>
                <w:sz w:val="20"/>
                <w:szCs w:val="20"/>
                <w:color w:val="auto"/>
              </w:rPr>
            </w:pPr>
            <w:r>
              <w:rPr>
                <w:rFonts w:ascii="Arial" w:cs="Arial" w:eastAsia="Arial" w:hAnsi="Arial"/>
                <w:sz w:val="11"/>
                <w:szCs w:val="11"/>
                <w:color w:val="008000"/>
              </w:rPr>
              <w:t>(8)</w:t>
            </w:r>
          </w:p>
        </w:tc>
        <w:tc>
          <w:tcPr>
            <w:tcW w:w="8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9,837</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10/01/2009</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D</w:t>
            </w:r>
          </w:p>
        </w:tc>
        <w:tc>
          <w:tcPr>
            <w:tcW w:w="840" w:type="dxa"/>
            <w:vAlign w:val="bottom"/>
          </w:tcPr>
          <w:p>
            <w:pPr>
              <w:ind w:left="480"/>
              <w:spacing w:after="0" w:line="132" w:lineRule="exact"/>
              <w:rPr>
                <w:sz w:val="20"/>
                <w:szCs w:val="20"/>
                <w:color w:val="auto"/>
              </w:rPr>
            </w:pPr>
            <w:r>
              <w:rPr>
                <w:rFonts w:ascii="Arial" w:cs="Arial" w:eastAsia="Arial" w:hAnsi="Arial"/>
                <w:sz w:val="13"/>
                <w:szCs w:val="13"/>
                <w:color w:val="0000FF"/>
              </w:rPr>
              <w:t>9,837</w:t>
            </w: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center"/>
              <w:ind w:right="240"/>
              <w:spacing w:after="0"/>
              <w:rPr>
                <w:sz w:val="20"/>
                <w:szCs w:val="20"/>
                <w:color w:val="auto"/>
              </w:rPr>
            </w:pPr>
            <w:r>
              <w:rPr>
                <w:rFonts w:ascii="Arial" w:cs="Arial" w:eastAsia="Arial" w:hAnsi="Arial"/>
                <w:sz w:val="11"/>
                <w:szCs w:val="11"/>
                <w:color w:val="008000"/>
              </w:rPr>
              <w:t>(9)</w:t>
            </w:r>
          </w:p>
        </w:tc>
        <w:tc>
          <w:tcPr>
            <w:tcW w:w="120" w:type="dxa"/>
            <w:vAlign w:val="bottom"/>
          </w:tcPr>
          <w:p>
            <w:pPr>
              <w:spacing w:after="0"/>
              <w:rPr>
                <w:sz w:val="16"/>
                <w:szCs w:val="16"/>
                <w:color w:val="auto"/>
              </w:rPr>
            </w:pPr>
          </w:p>
        </w:tc>
        <w:tc>
          <w:tcPr>
            <w:tcW w:w="560" w:type="dxa"/>
            <w:vAlign w:val="bottom"/>
            <w:vMerge w:val="restart"/>
          </w:tcPr>
          <w:p>
            <w:pPr>
              <w:jc w:val="center"/>
              <w:ind w:right="114"/>
              <w:spacing w:after="0"/>
              <w:rPr>
                <w:sz w:val="20"/>
                <w:szCs w:val="20"/>
                <w:color w:val="auto"/>
              </w:rPr>
            </w:pPr>
            <w:r>
              <w:rPr>
                <w:rFonts w:ascii="Arial" w:cs="Arial" w:eastAsia="Arial" w:hAnsi="Arial"/>
                <w:sz w:val="11"/>
                <w:szCs w:val="11"/>
                <w:color w:val="008000"/>
              </w:rPr>
              <w:t>(9)</w:t>
            </w:r>
          </w:p>
        </w:tc>
        <w:tc>
          <w:tcPr>
            <w:tcW w:w="8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3,010</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(9)</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10/01/2009</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D</w:t>
            </w:r>
          </w:p>
        </w:tc>
        <w:tc>
          <w:tcPr>
            <w:tcW w:w="840" w:type="dxa"/>
            <w:vAlign w:val="bottom"/>
          </w:tcPr>
          <w:p>
            <w:pPr>
              <w:ind w:left="480"/>
              <w:spacing w:after="0" w:line="132" w:lineRule="exact"/>
              <w:rPr>
                <w:sz w:val="20"/>
                <w:szCs w:val="20"/>
                <w:color w:val="auto"/>
              </w:rPr>
            </w:pPr>
            <w:r>
              <w:rPr>
                <w:rFonts w:ascii="Arial" w:cs="Arial" w:eastAsia="Arial" w:hAnsi="Arial"/>
                <w:sz w:val="13"/>
                <w:szCs w:val="13"/>
                <w:color w:val="0000FF"/>
              </w:rPr>
              <w:t>3,010</w:t>
            </w: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86" w:lineRule="auto"/>
        <w:tabs>
          <w:tab w:leader="none" w:pos="17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were disposed of on October 1, 2009 (the "Effective Date"), pursuant to the Agreement and Plan of Merger, dated as of March 31, 2009, by and among Fidelity National Information Services, Inc. ("FIS"), Cars Holdings, LLC ("Merger Sub") and Metavante Technologies, Inc. ("Metavante") (the "Merger Agreement"), in exchange for 78,050 shares of FIS common stock having a market value of $24.85 per share, based on the closing price of FIS common stock on the New York Stock Exchange ("NYSE") on the Effective Date of the Merger (as defined below).</w:t>
      </w:r>
    </w:p>
    <w:p>
      <w:pPr>
        <w:spacing w:after="0" w:line="3" w:lineRule="exact"/>
        <w:rPr>
          <w:rFonts w:ascii="Arial" w:cs="Arial" w:eastAsia="Arial" w:hAnsi="Arial"/>
          <w:sz w:val="12"/>
          <w:szCs w:val="12"/>
          <w:color w:val="008000"/>
        </w:rPr>
      </w:pPr>
    </w:p>
    <w:p>
      <w:pPr>
        <w:ind w:left="40" w:right="36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were disposed of pursuant to the Merger Agreement in exchange for 22,499 shares of FIS common stock having a market value of $24.85 per share, based on the closing price of FIS common stock on the NYSE on the Effective Date of the Merger. The Reporting Person disclaims beneficial ownership in excess of his pecuniary interest.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option, which was fully vested on April 25, 2000, was assumed by FIS pursuant to the Merger Agreement and replaced with an option to purchase 8,928 shares of FIS common stock for $10.60 per share.</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option, which was fully vested on April 22, 2003, was assumed by FIS pursuant to the Merger Agreement and replaced with an option to purchase 8,928 shares of FIS common stock for $12.30 per share.</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140" w:hanging="132"/>
        <w:spacing w:after="0"/>
        <w:tabs>
          <w:tab w:leader="none" w:pos="14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option, which was fully vested on April 25, 2006, was assumed by FIS pursuant to the Merger Agreement and replaced with an option to purchase 8,928 shares of FIS common stock for $18.45 per share.</w:t>
      </w:r>
    </w:p>
    <w:p>
      <w:pPr>
        <w:spacing w:after="0" w:line="63" w:lineRule="exact"/>
        <w:rPr>
          <w:rFonts w:ascii="Arial" w:cs="Arial" w:eastAsia="Arial" w:hAnsi="Arial"/>
          <w:sz w:val="12"/>
          <w:szCs w:val="12"/>
          <w:color w:val="008000"/>
        </w:rPr>
      </w:pPr>
    </w:p>
    <w:p>
      <w:pPr>
        <w:ind w:right="180"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provided for vesting in four equal annual installments beginning December 6, 2008, was assumed by FIS pursuant to the Merger Agreement and was replaced with an option to purchase 9,585 shares of FIS common stock for $18.01 per share.</w:t>
      </w:r>
    </w:p>
    <w:p>
      <w:pPr>
        <w:spacing w:after="0" w:line="10" w:lineRule="exact"/>
        <w:rPr>
          <w:rFonts w:ascii="Arial" w:cs="Arial" w:eastAsia="Arial" w:hAnsi="Arial"/>
          <w:sz w:val="13"/>
          <w:szCs w:val="13"/>
          <w:color w:val="008000"/>
        </w:rPr>
      </w:pPr>
    </w:p>
    <w:p>
      <w:pPr>
        <w:ind w:right="100"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provided for vesting in four equal annual installments beginning November 21, 2009, was assumed by FIS pursuant to the Merger Agreement and was replaced with an option to purchase 8,235 shares of FIS common stock for $10.40 per share.</w:t>
      </w:r>
    </w:p>
    <w:p>
      <w:pPr>
        <w:spacing w:after="0" w:line="10" w:lineRule="exact"/>
        <w:rPr>
          <w:rFonts w:ascii="Arial" w:cs="Arial" w:eastAsia="Arial" w:hAnsi="Arial"/>
          <w:sz w:val="13"/>
          <w:szCs w:val="13"/>
          <w:color w:val="008000"/>
        </w:rPr>
      </w:pPr>
    </w:p>
    <w:p>
      <w:pPr>
        <w:ind w:right="120" w:firstLine="8"/>
        <w:spacing w:after="0" w:line="254"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deferred stock units, each of which was the economic equivalent of one share of Metavante common stock and was payable in cash, were assumed by FIS pursuant to the Merger Agreement and were replaced with deferred stock units related to 13,279 shares of FIS common stock having a market value of $24.85 per share, based on the closing price of FIS common stock on the NYSE on the Effective Date of the Merger.</w:t>
      </w:r>
    </w:p>
    <w:p>
      <w:pPr>
        <w:spacing w:after="0" w:line="22" w:lineRule="exact"/>
        <w:rPr>
          <w:rFonts w:ascii="Arial" w:cs="Arial" w:eastAsia="Arial" w:hAnsi="Arial"/>
          <w:sz w:val="13"/>
          <w:szCs w:val="13"/>
          <w:color w:val="008000"/>
        </w:rPr>
      </w:pPr>
    </w:p>
    <w:p>
      <w:pPr>
        <w:ind w:right="40" w:firstLine="8"/>
        <w:spacing w:after="0" w:line="254"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deferred stock units, each of which was the economic equivalent of one share of Metavante common stock and was payable in cash, were assumed by FIS pursuant to the Merger Agreement and were replaced with deferred stock units related to 4,063 shares of FIS common stock having a market value of $24.85 per share, based on the closing price of FIS common stock on the NYSE on the Effective Date of the Merger.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008000"/>
        </w:rPr>
        <w:t>On October 1, 2009, Metavante and FIS closed their previously announced transaction whereby Metavante was merged with and into Merger Sub, a wholly-owned subsidiary of FIS (the "Merger"). The separate corporate existence of Metavante ceased upon consummation of the Merger. Pursuant to the Merger Agreement, Metavante shareholders received 1.35 shares of FIS common stock in exchange for each share of Metavante common stock they owned on the Effective Date of the Merger. Shareholders were paid cash in lieu of receiving any fractional shares of FIS common stock.</w:t>
      </w:r>
    </w:p>
    <w:p>
      <w:pPr>
        <w:spacing w:after="0" w:line="2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Stacey A. Lombardi,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10/02/2009</w:t>
            </w:r>
          </w:p>
        </w:tc>
        <w:tc>
          <w:tcPr>
            <w:tcW w:w="0" w:type="dxa"/>
            <w:vAlign w:val="bottom"/>
          </w:tcPr>
          <w:p>
            <w:pPr>
              <w:spacing w:after="0"/>
              <w:rPr>
                <w:sz w:val="1"/>
                <w:szCs w:val="1"/>
                <w:color w:val="auto"/>
              </w:rPr>
            </w:pPr>
          </w:p>
        </w:tc>
      </w:tr>
      <w:tr>
        <w:trPr>
          <w:trHeight w:val="92"/>
        </w:trPr>
        <w:tc>
          <w:tcPr>
            <w:tcW w:w="18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Attorney-in-Fact</w:t>
            </w:r>
          </w:p>
        </w:tc>
        <w:tc>
          <w:tcPr>
            <w:tcW w:w="4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60" w:firstLine="8"/>
        <w:spacing w:after="0" w:line="321" w:lineRule="auto"/>
        <w:tabs>
          <w:tab w:leader="none" w:pos="14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524" TargetMode="External"/><Relationship Id="rId13" Type="http://schemas.openxmlformats.org/officeDocument/2006/relationships/hyperlink" Target="http://www.sec.gov/cgi-bin/browse-edgar?action=getcompany&amp;CIK=0001399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2019-12-17T00:05:45Z</dcterms:created>
  <dcterms:modified xsi:type="dcterms:W3CDTF">2019-12-17T00:05:45Z</dcterms:modified>
</cp:coreProperties>
</file>