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United States Securities and Exchange Commission on October 21,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333-146938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TECHNOLOGIES,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4"/>
              </w:rPr>
              <w:t>Wisconsin</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39-0968604</w:t>
            </w:r>
          </w:p>
        </w:tc>
      </w:tr>
      <w:tr>
        <w:trPr>
          <w:trHeight w:val="149"/>
        </w:trPr>
        <w:tc>
          <w:tcPr>
            <w:tcW w:w="4920" w:type="dxa"/>
            <w:vAlign w:val="bottom"/>
          </w:tcPr>
          <w:p>
            <w:pPr>
              <w:jc w:val="center"/>
              <w:ind w:right="18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20" w:type="dxa"/>
            <w:vAlign w:val="bottom"/>
          </w:tcPr>
          <w:p>
            <w:pPr>
              <w:jc w:val="center"/>
              <w:ind w:right="1802"/>
              <w:spacing w:after="0"/>
              <w:rPr>
                <w:sz w:val="20"/>
                <w:szCs w:val="20"/>
                <w:color w:val="auto"/>
              </w:rPr>
            </w:pPr>
            <w:r>
              <w:rPr>
                <w:rFonts w:ascii="Arial" w:cs="Arial" w:eastAsia="Arial" w:hAnsi="Arial"/>
                <w:sz w:val="14"/>
                <w:szCs w:val="14"/>
                <w:b w:val="1"/>
                <w:bCs w:val="1"/>
                <w:color w:val="auto"/>
                <w:w w:val="88"/>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920" w:type="dxa"/>
            <w:vAlign w:val="bottom"/>
          </w:tcPr>
          <w:p>
            <w:pPr>
              <w:jc w:val="center"/>
              <w:ind w:right="1782"/>
              <w:spacing w:after="0"/>
              <w:rPr>
                <w:sz w:val="20"/>
                <w:szCs w:val="20"/>
                <w:color w:val="auto"/>
              </w:rPr>
            </w:pPr>
            <w:r>
              <w:rPr>
                <w:rFonts w:ascii="Arial" w:cs="Arial" w:eastAsia="Arial" w:hAnsi="Arial"/>
                <w:sz w:val="18"/>
                <w:szCs w:val="18"/>
                <w:b w:val="1"/>
                <w:bCs w:val="1"/>
                <w:color w:val="auto"/>
                <w:w w:val="90"/>
              </w:rPr>
              <w:t>c/o Metavante Holdings, LLC</w:t>
            </w:r>
          </w:p>
        </w:tc>
        <w:tc>
          <w:tcPr>
            <w:tcW w:w="2960" w:type="dxa"/>
            <w:vAlign w:val="bottom"/>
          </w:tcPr>
          <w:p>
            <w:pPr>
              <w:spacing w:after="0"/>
              <w:rPr>
                <w:sz w:val="24"/>
                <w:szCs w:val="24"/>
                <w:color w:val="auto"/>
              </w:rPr>
            </w:pPr>
          </w:p>
        </w:tc>
      </w:tr>
      <w:tr>
        <w:trPr>
          <w:trHeight w:val="231"/>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7"/>
              </w:rPr>
              <w:t>601 Riverside Ave., Jacksonville, Florida</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32204</w:t>
            </w:r>
          </w:p>
        </w:tc>
      </w:tr>
      <w:tr>
        <w:trPr>
          <w:trHeight w:val="174"/>
        </w:trPr>
        <w:tc>
          <w:tcPr>
            <w:tcW w:w="4920" w:type="dxa"/>
            <w:vAlign w:val="bottom"/>
          </w:tcPr>
          <w:p>
            <w:pPr>
              <w:jc w:val="center"/>
              <w:ind w:right="17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METAVANTE EXECUTIVE DEFERRED COMPENSATION PLAN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D. Cook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Metavante Holdings,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Riverside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Florida 32204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 854-5000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480" w:type="dxa"/>
            <w:vAlign w:val="bottom"/>
          </w:tcPr>
          <w:p>
            <w:pPr>
              <w:ind w:left="860"/>
              <w:spacing w:after="0"/>
              <w:rPr>
                <w:sz w:val="20"/>
                <w:szCs w:val="20"/>
                <w:color w:val="auto"/>
              </w:rPr>
            </w:pPr>
            <w:r>
              <w:rPr>
                <w:rFonts w:ascii="Arial" w:cs="Arial" w:eastAsia="Arial" w:hAnsi="Arial"/>
                <w:sz w:val="18"/>
                <w:szCs w:val="18"/>
                <w:color w:val="auto"/>
                <w:w w:val="89"/>
              </w:rPr>
              <w:t>Large accelerated filer</w:t>
            </w:r>
          </w:p>
        </w:tc>
        <w:tc>
          <w:tcPr>
            <w:tcW w:w="47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480" w:type="dxa"/>
            <w:vAlign w:val="bottom"/>
          </w:tcPr>
          <w:p>
            <w:pPr>
              <w:ind w:left="860"/>
              <w:spacing w:after="0"/>
              <w:rPr>
                <w:sz w:val="20"/>
                <w:szCs w:val="20"/>
                <w:color w:val="auto"/>
              </w:rPr>
            </w:pPr>
            <w:r>
              <w:rPr>
                <w:rFonts w:ascii="Arial" w:cs="Arial" w:eastAsia="Arial" w:hAnsi="Arial"/>
                <w:sz w:val="18"/>
                <w:szCs w:val="18"/>
                <w:color w:val="auto"/>
                <w:w w:val="96"/>
              </w:rPr>
              <w:t>Non-accelerated filer</w:t>
            </w:r>
          </w:p>
        </w:tc>
        <w:tc>
          <w:tcPr>
            <w:tcW w:w="47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1180"/>
              <w:spacing w:after="0"/>
              <w:rPr>
                <w:sz w:val="20"/>
                <w:szCs w:val="20"/>
                <w:color w:val="auto"/>
              </w:rPr>
            </w:pPr>
            <w:r>
              <w:rPr>
                <w:rFonts w:ascii="Arial" w:cs="Arial" w:eastAsia="Arial" w:hAnsi="Arial"/>
                <w:sz w:val="18"/>
                <w:szCs w:val="18"/>
                <w:color w:val="auto"/>
                <w:w w:val="90"/>
              </w:rPr>
              <w:t>Smaller reporting company</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63"/>
        </w:trPr>
        <w:tc>
          <w:tcPr>
            <w:tcW w:w="248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Post-Effective Amendment No. 1 relates to the Registration Statement on Form S-8 (Registration No. 333-146938) previously filed by Metavante Technologies, Inc. (“Metavante”) on October 25, 2007 (the “Registration Statement”).</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Pursuant to the Agreement and Plan of Merger, dated as of March 31, 2009, by and among Fidelity National Information Services, Inc. (“FIS”), Cars Holdings, LLC (renamed Metavante Holdings, LLC as of the effective time of the Merger), a direct, wholly owned subsidiary of FIS (“Merger Sub”), and Metavante, Metavante merged with and into Merger Sub, with Metavante ceasing to exist and Merger Sub surviving the merger and remaining a wholly owned subsidiary of FIS (the “Merger”). The Merger became effective at 10:00 a.m., Eastern Time, on October 1, 2009 (the “Effective Time”).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the Effective Time, each share of Metavante common stock outstanding immediately prior to the Effective Time was cancelled and automatically converted into the right to receive 1.35 shares of FIS common stock and the Metavante Executive Deferred Compensation Plan was terminated immediately prior to the consummation of such transactions.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the Merger, Metavante has terminated all offerings of securities pursuant to its existing registration statements under the Securities Act of 1933, as amended, including the Registration Statement. In accordance with the undertaking made by Metavante in the Registration Statement to remove from registration by means of a post-effective amendment any of its securities being registered under the Registration Statement which remain unsold at the termination of the offering, Merger Sub (as successor to Metavante) hereby terminates the effectiveness of the Registration Statement and deregisters any and all amount of deferred compensation obligations originally contemplated under the plan covered by the Registration Statement and registered under the Registration Statement, which remain unsold or unissued as of the date hereof.</w:t>
      </w:r>
    </w:p>
    <w:p>
      <w:pPr>
        <w:spacing w:after="0" w:line="120"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Jacksonville, State of Florida, on October 21, 2009.</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METAVANTE HOLDINGS, LLC (as successor to Metavante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Technologies, Inc.)</w:t>
      </w:r>
    </w:p>
    <w:p>
      <w:pPr>
        <w:spacing w:after="0" w:line="219"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C</w:t>
      </w:r>
      <w:r>
        <w:rPr>
          <w:rFonts w:ascii="Arial" w:cs="Arial" w:eastAsia="Arial" w:hAnsi="Arial"/>
          <w:sz w:val="13"/>
          <w:szCs w:val="13"/>
          <w:color w:val="auto"/>
        </w:rPr>
        <w:t>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Name: Ronald D. Cook</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Title: Executive Vice President, General Counsel and Corporate</w:t>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Capacity</w:t>
            </w: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r>
      <w:tr>
        <w:trPr>
          <w:trHeight w:val="424"/>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RANK</w:t>
            </w:r>
            <w:r>
              <w:rPr>
                <w:rFonts w:ascii="Arial" w:cs="Arial" w:eastAsia="Arial" w:hAnsi="Arial"/>
                <w:sz w:val="18"/>
                <w:szCs w:val="18"/>
                <w:color w:val="auto"/>
                <w:w w:val="99"/>
              </w:rPr>
              <w:t xml:space="preserve"> R. M</w:t>
            </w:r>
            <w:r>
              <w:rPr>
                <w:rFonts w:ascii="Arial" w:cs="Arial" w:eastAsia="Arial" w:hAnsi="Arial"/>
                <w:sz w:val="14"/>
                <w:szCs w:val="14"/>
                <w:color w:val="auto"/>
                <w:w w:val="99"/>
              </w:rPr>
              <w:t>ARTIRE</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208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October 21, 2009</w:t>
            </w:r>
          </w:p>
        </w:tc>
      </w:tr>
      <w:tr>
        <w:trPr>
          <w:trHeight w:val="202"/>
        </w:trPr>
        <w:tc>
          <w:tcPr>
            <w:tcW w:w="1320" w:type="dxa"/>
            <w:vAlign w:val="bottom"/>
          </w:tcPr>
          <w:p>
            <w:pPr>
              <w:spacing w:after="0"/>
              <w:rPr>
                <w:sz w:val="17"/>
                <w:szCs w:val="17"/>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3"/>
              </w:rPr>
              <w:t>Frank R. Martire</w:t>
            </w:r>
          </w:p>
        </w:tc>
        <w:tc>
          <w:tcPr>
            <w:tcW w:w="48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EORGE</w:t>
            </w:r>
            <w:r>
              <w:rPr>
                <w:rFonts w:ascii="Arial" w:cs="Arial" w:eastAsia="Arial" w:hAnsi="Arial"/>
                <w:sz w:val="18"/>
                <w:szCs w:val="18"/>
                <w:color w:val="auto"/>
                <w:w w:val="95"/>
              </w:rPr>
              <w:t xml:space="preserve"> P. S</w:t>
            </w:r>
            <w:r>
              <w:rPr>
                <w:rFonts w:ascii="Arial" w:cs="Arial" w:eastAsia="Arial" w:hAnsi="Arial"/>
                <w:sz w:val="14"/>
                <w:szCs w:val="14"/>
                <w:color w:val="auto"/>
                <w:w w:val="95"/>
              </w:rPr>
              <w:t>CANLON</w:t>
            </w: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Financial Officer and</w:t>
            </w:r>
          </w:p>
        </w:tc>
        <w:tc>
          <w:tcPr>
            <w:tcW w:w="208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October 21, 2009</w:t>
            </w:r>
          </w:p>
        </w:tc>
      </w:tr>
      <w:tr>
        <w:trPr>
          <w:trHeight w:val="190"/>
        </w:trPr>
        <w:tc>
          <w:tcPr>
            <w:tcW w:w="1320" w:type="dxa"/>
            <w:vAlign w:val="bottom"/>
          </w:tcPr>
          <w:p>
            <w:pPr>
              <w:spacing w:after="0"/>
              <w:rPr>
                <w:sz w:val="16"/>
                <w:szCs w:val="16"/>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George P. Scanlon</w:t>
            </w:r>
          </w:p>
        </w:tc>
        <w:tc>
          <w:tcPr>
            <w:tcW w:w="486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Chief Accounting Officer</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2019-12-11T03:32:06Z</dcterms:created>
  <dcterms:modified xsi:type="dcterms:W3CDTF">2019-12-11T03:32:06Z</dcterms:modified>
</cp:coreProperties>
</file>