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5"/>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8"/>
              </w:rPr>
              <w:t>SECURITIES AND EXCHANGE COMMISSION</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OMB Number:</w:t>
            </w:r>
          </w:p>
        </w:tc>
        <w:tc>
          <w:tcPr>
            <w:tcW w:w="1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4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22"/>
                <w:szCs w:val="22"/>
                <w:color w:val="auto"/>
                <w:w w:val="96"/>
              </w:rPr>
              <w:t>Washington, D.C. 20549</w:t>
            </w:r>
          </w:p>
        </w:tc>
        <w:tc>
          <w:tcPr>
            <w:tcW w:w="1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Expires:</w:t>
            </w:r>
          </w:p>
        </w:tc>
        <w:tc>
          <w:tcPr>
            <w:tcW w:w="1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440" w:type="dxa"/>
            <w:vAlign w:val="bottom"/>
            <w:gridSpan w:val="2"/>
          </w:tcPr>
          <w:p>
            <w:pPr>
              <w:jc w:val="center"/>
              <w:ind w:right="1000"/>
              <w:spacing w:after="0"/>
              <w:rPr>
                <w:sz w:val="20"/>
                <w:szCs w:val="20"/>
                <w:color w:val="auto"/>
              </w:rPr>
            </w:pPr>
            <w:r>
              <w:rPr>
                <w:rFonts w:ascii="Times New Roman" w:cs="Times New Roman" w:eastAsia="Times New Roman" w:hAnsi="Times New Roman"/>
                <w:sz w:val="22"/>
                <w:szCs w:val="22"/>
                <w:color w:val="auto"/>
                <w:w w:val="97"/>
              </w:rPr>
              <w:t>FORM 25</w:t>
            </w:r>
          </w:p>
        </w:tc>
        <w:tc>
          <w:tcPr>
            <w:tcW w:w="18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22"/>
                <w:szCs w:val="22"/>
                <w:color w:val="auto"/>
              </w:rPr>
              <w:t>hours per response:</w:t>
            </w:r>
          </w:p>
        </w:tc>
        <w:tc>
          <w:tcPr>
            <w:tcW w:w="17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2"/>
          <w:szCs w:val="22"/>
          <w:color w:val="auto"/>
        </w:rPr>
        <w:t>NOTIFICATION OF REMOVAL FROM LISTING AND/OR REGISTRATION</w:t>
      </w:r>
    </w:p>
    <w:p>
      <w:pPr>
        <w:spacing w:after="0" w:line="1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2"/>
          <w:szCs w:val="22"/>
          <w:color w:val="auto"/>
        </w:rPr>
        <w:t>UNDER SECTION 12(b) OF THE SECURITIES EXCHANGE ACT OF 1934.</w:t>
      </w:r>
    </w:p>
    <w:p>
      <w:pPr>
        <w:spacing w:after="0" w:line="20" w:lineRule="exact"/>
        <w:rPr>
          <w:sz w:val="24"/>
          <w:szCs w:val="24"/>
          <w:color w:val="auto"/>
        </w:rPr>
      </w:pPr>
    </w:p>
    <w:p>
      <w:pPr>
        <w:ind w:left="4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Commission File Number </w:t>
      </w:r>
      <w:hyperlink r:id="rId9">
        <w:r>
          <w:rPr>
            <w:rFonts w:ascii="Times New Roman" w:cs="Times New Roman" w:eastAsia="Times New Roman" w:hAnsi="Times New Roman"/>
            <w:sz w:val="22"/>
            <w:szCs w:val="22"/>
            <w:u w:val="single" w:color="auto"/>
            <w:color w:val="0000EE"/>
          </w:rPr>
          <w:t>001-16427</w:t>
        </w:r>
      </w:hyperlink>
    </w:p>
    <w:p>
      <w:pPr>
        <w:spacing w:after="0" w:line="125" w:lineRule="exact"/>
        <w:rPr>
          <w:sz w:val="24"/>
          <w:szCs w:val="24"/>
          <w:color w:val="auto"/>
        </w:rPr>
      </w:pPr>
    </w:p>
    <w:p>
      <w:pPr>
        <w:ind w:left="2640"/>
        <w:spacing w:after="0"/>
        <w:tabs>
          <w:tab w:leader="none" w:pos="358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Issuer:</w:t>
      </w:r>
      <w:r>
        <w:rPr>
          <w:sz w:val="20"/>
          <w:szCs w:val="20"/>
          <w:color w:val="auto"/>
        </w:rPr>
        <w:tab/>
      </w:r>
      <w:hyperlink r:id="rId10">
        <w:r>
          <w:rPr>
            <w:rFonts w:ascii="Times New Roman" w:cs="Times New Roman" w:eastAsia="Times New Roman" w:hAnsi="Times New Roman"/>
            <w:sz w:val="22"/>
            <w:szCs w:val="22"/>
            <w:u w:val="single" w:color="auto"/>
            <w:color w:val="0000EE"/>
          </w:rPr>
          <w:t>Fidelity National Information Services, Inc.</w:t>
        </w:r>
      </w:hyperlink>
    </w:p>
    <w:p>
      <w:pPr>
        <w:spacing w:after="0" w:line="4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45085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Issuer as specified in its charter, and name of Exchange where security is listed</w:t>
      </w:r>
    </w:p>
    <w:p>
      <w:pPr>
        <w:spacing w:after="0" w:line="14" w:lineRule="exact"/>
        <w:rPr>
          <w:sz w:val="24"/>
          <w:szCs w:val="24"/>
          <w:color w:val="auto"/>
        </w:rPr>
      </w:pPr>
    </w:p>
    <w:p>
      <w:pPr>
        <w:jc w:val="right"/>
        <w:ind w:right="4240"/>
        <w:spacing w:after="0"/>
        <w:rPr>
          <w:sz w:val="20"/>
          <w:szCs w:val="20"/>
          <w:color w:val="auto"/>
        </w:rPr>
      </w:pPr>
      <w:r>
        <w:rPr>
          <w:rFonts w:ascii="Times New Roman" w:cs="Times New Roman" w:eastAsia="Times New Roman" w:hAnsi="Times New Roman"/>
          <w:sz w:val="22"/>
          <w:szCs w:val="22"/>
          <w:color w:val="auto"/>
        </w:rPr>
        <w:t>and/or registered)</w:t>
      </w:r>
    </w:p>
    <w:p>
      <w:pPr>
        <w:spacing w:after="0" w:line="61" w:lineRule="exact"/>
        <w:rPr>
          <w:sz w:val="24"/>
          <w:szCs w:val="24"/>
          <w:color w:val="auto"/>
        </w:rPr>
      </w:pPr>
    </w:p>
    <w:p>
      <w:pPr>
        <w:jc w:val="right"/>
        <w:ind w:right="4280"/>
        <w:spacing w:after="0"/>
        <w:rPr>
          <w:sz w:val="20"/>
          <w:szCs w:val="20"/>
          <w:color w:val="auto"/>
        </w:rPr>
      </w:pPr>
      <w:r>
        <w:rPr>
          <w:rFonts w:ascii="Times New Roman" w:cs="Times New Roman" w:eastAsia="Times New Roman" w:hAnsi="Times New Roman"/>
          <w:sz w:val="22"/>
          <w:szCs w:val="22"/>
          <w:color w:val="auto"/>
        </w:rPr>
        <w:t>Address: 601 Riverside Avenue</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Jacksonville FLORIDA 32204</w:t>
      </w:r>
    </w:p>
    <w:p>
      <w:pPr>
        <w:spacing w:after="0" w:line="44" w:lineRule="exact"/>
        <w:rPr>
          <w:sz w:val="24"/>
          <w:szCs w:val="24"/>
          <w:color w:val="auto"/>
        </w:rPr>
      </w:pPr>
    </w:p>
    <w:tbl>
      <w:tblPr>
        <w:tblLayout w:type="fixed"/>
        <w:tblInd w:w="210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Telephone number:</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(904) 438-6365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26670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62"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2"/>
          <w:szCs w:val="22"/>
          <w:color w:val="auto"/>
        </w:rPr>
        <w:t>(Address, including zip code, and telephone number, including area code, of Issuer's principal executive offices)</w:t>
      </w:r>
    </w:p>
    <w:p>
      <w:pPr>
        <w:jc w:val="center"/>
        <w:spacing w:after="0"/>
        <w:rPr>
          <w:sz w:val="20"/>
          <w:szCs w:val="20"/>
          <w:color w:val="auto"/>
        </w:rPr>
      </w:pPr>
      <w:r>
        <w:rPr>
          <w:rFonts w:ascii="Times New Roman" w:cs="Times New Roman" w:eastAsia="Times New Roman" w:hAnsi="Times New Roman"/>
          <w:sz w:val="22"/>
          <w:szCs w:val="22"/>
          <w:color w:val="auto"/>
        </w:rPr>
        <w:t>1.700% Senior Notes due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19685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(Description of class of securities)</w:t>
      </w:r>
    </w:p>
    <w:p>
      <w:pPr>
        <w:spacing w:after="0" w:line="85"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Please place an X in the box to designate the rule provision relied upon to strike the class of securities from listing and registration:</w:t>
      </w:r>
    </w:p>
    <w:p>
      <w:pPr>
        <w:spacing w:after="0" w:line="172"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240.12d2-2(a)(4)</w:t>
      </w:r>
    </w:p>
    <w:p>
      <w:pPr>
        <w:spacing w:after="0" w:line="179" w:lineRule="exact"/>
        <w:rPr>
          <w:sz w:val="24"/>
          <w:szCs w:val="24"/>
          <w:color w:val="auto"/>
        </w:rPr>
      </w:pPr>
    </w:p>
    <w:p>
      <w:pPr>
        <w:ind w:left="780" w:right="1200" w:firstLine="54"/>
        <w:spacing w:after="0" w:line="266" w:lineRule="auto"/>
        <w:rPr>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240.12d2-2(b), the Exchange has complied with its rules to strike the class of securities from listing and/or withdraw registration on the Exchange. </w:t>
      </w:r>
      <w:r>
        <w:rPr>
          <w:rFonts w:ascii="Times New Roman" w:cs="Times New Roman" w:eastAsia="Times New Roman" w:hAnsi="Times New Roman"/>
          <w:sz w:val="35"/>
          <w:szCs w:val="35"/>
          <w:u w:val="single" w:color="auto"/>
          <w:color w:val="0000EE"/>
          <w:vertAlign w:val="superscript"/>
        </w:rPr>
        <w:t>1</w:t>
      </w:r>
    </w:p>
    <w:p>
      <w:pPr>
        <w:spacing w:after="0" w:line="3" w:lineRule="exact"/>
        <w:rPr>
          <w:sz w:val="24"/>
          <w:szCs w:val="24"/>
          <w:color w:val="auto"/>
        </w:rPr>
      </w:pPr>
    </w:p>
    <w:p>
      <w:pPr>
        <w:ind w:left="780" w:right="800" w:firstLine="54"/>
        <w:spacing w:after="0" w:line="244"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4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Senior Analyst, Market</w:t>
            </w:r>
          </w:p>
        </w:tc>
      </w:tr>
      <w:tr>
        <w:trPr>
          <w:trHeight w:val="243"/>
        </w:trPr>
        <w:tc>
          <w:tcPr>
            <w:tcW w:w="2060" w:type="dxa"/>
            <w:vAlign w:val="bottom"/>
          </w:tcPr>
          <w:p>
            <w:pPr>
              <w:spacing w:after="0"/>
              <w:rPr>
                <w:sz w:val="21"/>
                <w:szCs w:val="21"/>
                <w:color w:val="auto"/>
              </w:rPr>
            </w:pPr>
          </w:p>
        </w:tc>
        <w:tc>
          <w:tcPr>
            <w:tcW w:w="9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Watch and Proxy</w:t>
            </w:r>
          </w:p>
        </w:tc>
      </w:tr>
      <w:tr>
        <w:trPr>
          <w:trHeight w:val="283"/>
        </w:trPr>
        <w:tc>
          <w:tcPr>
            <w:tcW w:w="2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2022-06-30</w:t>
            </w:r>
          </w:p>
        </w:tc>
        <w:tc>
          <w:tcPr>
            <w:tcW w:w="940" w:type="dxa"/>
            <w:vAlign w:val="bottom"/>
          </w:tcPr>
          <w:p>
            <w:pPr>
              <w:spacing w:after="0"/>
              <w:rPr>
                <w:sz w:val="24"/>
                <w:szCs w:val="24"/>
                <w:color w:val="auto"/>
              </w:rPr>
            </w:pPr>
          </w:p>
        </w:tc>
        <w:tc>
          <w:tcPr>
            <w:tcW w:w="3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Compliance</w:t>
            </w:r>
          </w:p>
        </w:tc>
      </w:tr>
      <w:tr>
        <w:trPr>
          <w:trHeight w:val="290"/>
        </w:trPr>
        <w:tc>
          <w:tcPr>
            <w:tcW w:w="3000" w:type="dxa"/>
            <w:vAlign w:val="bottom"/>
            <w:gridSpan w:val="2"/>
          </w:tcPr>
          <w:p>
            <w:pPr>
              <w:jc w:val="center"/>
              <w:ind w:right="812"/>
              <w:spacing w:after="0"/>
              <w:rPr>
                <w:sz w:val="20"/>
                <w:szCs w:val="20"/>
                <w:color w:val="auto"/>
              </w:rPr>
            </w:pPr>
            <w:r>
              <w:rPr>
                <w:rFonts w:ascii="Times New Roman" w:cs="Times New Roman" w:eastAsia="Times New Roman" w:hAnsi="Times New Roman"/>
                <w:sz w:val="22"/>
                <w:szCs w:val="22"/>
                <w:color w:val="auto"/>
                <w:w w:val="96"/>
              </w:rPr>
              <w:t>Date</w:t>
            </w:r>
          </w:p>
        </w:tc>
        <w:tc>
          <w:tcPr>
            <w:tcW w:w="34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r>
    </w:tbl>
    <w:p>
      <w:pPr>
        <w:spacing w:after="0" w:line="96" w:lineRule="exact"/>
        <w:rPr>
          <w:sz w:val="24"/>
          <w:szCs w:val="24"/>
          <w:color w:val="auto"/>
        </w:rPr>
      </w:pPr>
    </w:p>
    <w:p>
      <w:pPr>
        <w:ind w:left="1260" w:right="900" w:hanging="597"/>
        <w:spacing w:after="0" w:line="258" w:lineRule="auto"/>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Form 25 and attached Notice will be considered compliance with the provisions of 17 CFR 240.19d-1 as applicable. </w:t>
      </w:r>
      <w:r>
        <w:rPr>
          <w:rFonts w:ascii="Times New Roman" w:cs="Times New Roman" w:eastAsia="Times New Roman" w:hAnsi="Times New Roman"/>
          <w:sz w:val="22"/>
          <w:szCs w:val="22"/>
          <w:u w:val="single" w:color="auto"/>
          <w:color w:val="0000EE"/>
        </w:rPr>
        <w:t>See</w:t>
      </w:r>
      <w:r>
        <w:rPr>
          <w:rFonts w:ascii="Times New Roman" w:cs="Times New Roman" w:eastAsia="Times New Roman" w:hAnsi="Times New Roman"/>
          <w:sz w:val="22"/>
          <w:szCs w:val="22"/>
          <w:color w:val="auto"/>
        </w:rPr>
        <w:t xml:space="preserve"> General Instructions.</w:t>
      </w:r>
    </w:p>
    <w:p>
      <w:pPr>
        <w:spacing w:after="0" w:line="37"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36"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11, 2022, pursuant to the provisions of Rule 12d2-2 (a). [ X ] 17 CFR 240.12d2-2(a)(2) That the entire class of this security was redeemed or paid at maturity or retirement on June 30, 2022. The Exchange also notifies the Securities and Exchange Commission that as a result of the above indicated conditions this security was suspended from trading on June 30, 2022.</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16427" TargetMode="External"/><Relationship Id="rId10"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2022-06-30T07:54:40Z</dcterms:created>
  <dcterms:modified xsi:type="dcterms:W3CDTF">2022-06-30T07:54:40Z</dcterms:modified>
</cp:coreProperties>
</file>