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COSTELLO KEVIN</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Worldpay,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WORLDPAY,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5"/>
          </w:tcPr>
          <w:p>
            <w:pPr>
              <w:ind w:left="160"/>
              <w:spacing w:after="0"/>
              <w:rPr>
                <w:sz w:val="20"/>
                <w:szCs w:val="20"/>
                <w:color w:val="auto"/>
              </w:rPr>
            </w:pPr>
            <w:r>
              <w:rPr>
                <w:rFonts w:ascii="Arial" w:cs="Arial" w:eastAsia="Arial" w:hAnsi="Arial"/>
                <w:sz w:val="18"/>
                <w:szCs w:val="18"/>
                <w:color w:val="0000FF"/>
              </w:rPr>
              <w:t>07/31/2019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3"/>
              </w:rPr>
              <w:t>8500 GOVERNOR'S HILL DRIVE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CINCINNATI</w:t>
            </w:r>
          </w:p>
        </w:tc>
        <w:tc>
          <w:tcPr>
            <w:tcW w:w="300" w:type="dxa"/>
            <w:vAlign w:val="bottom"/>
          </w:tcPr>
          <w:p>
            <w:pPr>
              <w:ind w:left="40"/>
              <w:spacing w:after="0"/>
              <w:rPr>
                <w:sz w:val="20"/>
                <w:szCs w:val="20"/>
                <w:color w:val="auto"/>
              </w:rPr>
            </w:pPr>
            <w:r>
              <w:rPr>
                <w:rFonts w:ascii="Arial" w:cs="Arial" w:eastAsia="Arial" w:hAnsi="Arial"/>
                <w:sz w:val="18"/>
                <w:szCs w:val="18"/>
                <w:color w:val="0000FF"/>
                <w:w w:val="88"/>
              </w:rPr>
              <w:t>OH</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45249-1384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jc w:val="center"/>
              <w:ind w:right="1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19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07/31/2019</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0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14,824</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8"/>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0" w:type="dxa"/>
            <w:vAlign w:val="bottom"/>
            <w:gridSpan w:val="16"/>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4"/>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restricted stock units were disposed of pursuant to a merger agreement between the issuer and Fidelity National information Services, Inc. ("FIS"). Upon the closing of the merger, the restricted stock units were converted into restricted stock units related to shares of FIS common stock pursuant to an exchange ratio that is designed to maintain the intrinsic value of the award immediately prior to the closing of the merger.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Bryan A. Jacobs,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07/31/2019</w:t>
            </w:r>
          </w:p>
        </w:tc>
        <w:tc>
          <w:tcPr>
            <w:tcW w:w="0" w:type="dxa"/>
            <w:vAlign w:val="bottom"/>
          </w:tcPr>
          <w:p>
            <w:pPr>
              <w:spacing w:after="0"/>
              <w:rPr>
                <w:sz w:val="1"/>
                <w:szCs w:val="1"/>
                <w:color w:val="auto"/>
              </w:rPr>
            </w:pPr>
          </w:p>
        </w:tc>
      </w:tr>
      <w:tr>
        <w:trPr>
          <w:trHeight w:val="88"/>
        </w:trPr>
        <w:tc>
          <w:tcPr>
            <w:tcW w:w="182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in-fact for Kevin Costello</w:t>
            </w:r>
          </w:p>
        </w:tc>
        <w:tc>
          <w:tcPr>
            <w:tcW w:w="3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20" w:type="dxa"/>
            <w:vAlign w:val="bottom"/>
            <w:tcBorders>
              <w:bottom w:val="single" w:sz="8" w:color="auto"/>
            </w:tcBorders>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KNOW ALL BY THESE PRESENTS, that the undersigned hereby constitutes and</w:t>
      </w:r>
    </w:p>
    <w:p>
      <w:pPr>
        <w:spacing w:after="0" w:line="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appoints each of Nelson F. Greene, Jared M. Warner, and Bryan A. Jacobs, signing singly, the undersigned's true and lawful attorney-in-fact to:</w:t>
      </w:r>
    </w:p>
    <w:p>
      <w:pPr>
        <w:spacing w:after="0" w:line="208" w:lineRule="exact"/>
        <w:rPr>
          <w:sz w:val="20"/>
          <w:szCs w:val="20"/>
          <w:color w:val="auto"/>
        </w:rPr>
      </w:pPr>
    </w:p>
    <w:p>
      <w:pPr>
        <w:ind w:right="1900"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Vantiv, Inc. (the "Company"), Forms 3, 4, and 5 in accordance with Section 16(a) of the Securities Exchange Act of 1934 and the rules thereunder;</w:t>
      </w:r>
    </w:p>
    <w:p>
      <w:pPr>
        <w:spacing w:after="0" w:line="4" w:lineRule="exact"/>
        <w:rPr>
          <w:rFonts w:ascii="Courier New" w:cs="Courier New" w:eastAsia="Courier New" w:hAnsi="Courier New"/>
          <w:sz w:val="18"/>
          <w:szCs w:val="18"/>
          <w:color w:val="auto"/>
        </w:rPr>
      </w:pPr>
    </w:p>
    <w:p>
      <w:pPr>
        <w:ind w:right="1900" w:firstLine="8"/>
        <w:spacing w:after="0" w:line="23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and any stock exchange or similar authority; and</w:t>
      </w:r>
    </w:p>
    <w:p>
      <w:pPr>
        <w:spacing w:after="0" w:line="4" w:lineRule="exact"/>
        <w:rPr>
          <w:rFonts w:ascii="Courier New" w:cs="Courier New" w:eastAsia="Courier New" w:hAnsi="Courier New"/>
          <w:sz w:val="18"/>
          <w:szCs w:val="18"/>
          <w:color w:val="auto"/>
        </w:rPr>
      </w:pPr>
    </w:p>
    <w:p>
      <w:pPr>
        <w:ind w:right="1900"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undersigned hereby grants to each such attorney-in-fact full power and authority to</w:t>
      </w:r>
    </w:p>
    <w:p>
      <w:pPr>
        <w:spacing w:after="0" w:line="238" w:lineRule="auto"/>
        <w:rPr>
          <w:sz w:val="20"/>
          <w:szCs w:val="20"/>
          <w:color w:val="auto"/>
        </w:rPr>
      </w:pPr>
      <w:r>
        <w:rPr>
          <w:rFonts w:ascii="Courier New" w:cs="Courier New" w:eastAsia="Courier New" w:hAnsi="Courier New"/>
          <w:sz w:val="18"/>
          <w:szCs w:val="18"/>
          <w:color w:val="auto"/>
        </w:rPr>
        <w:t>do and perform any and every act and thing whatsoever requisite, necessary, or proper to be done</w:t>
      </w:r>
    </w:p>
    <w:p>
      <w:pPr>
        <w:spacing w:after="0" w:line="5"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2" w:lineRule="exact"/>
        <w:rPr>
          <w:sz w:val="20"/>
          <w:szCs w:val="20"/>
          <w:color w:val="auto"/>
        </w:rPr>
      </w:pPr>
    </w:p>
    <w:p>
      <w:pPr>
        <w:ind w:right="420" w:firstLine="421"/>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7" w:lineRule="exact"/>
        <w:rPr>
          <w:sz w:val="20"/>
          <w:szCs w:val="20"/>
          <w:color w:val="auto"/>
        </w:rPr>
      </w:pPr>
    </w:p>
    <w:p>
      <w:pPr>
        <w:ind w:right="2200"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27th day of October, 2015.</w:t>
      </w:r>
    </w:p>
    <w:p>
      <w:pPr>
        <w:spacing w:after="0" w:line="200" w:lineRule="exact"/>
        <w:rPr>
          <w:sz w:val="20"/>
          <w:szCs w:val="20"/>
          <w:color w:val="auto"/>
        </w:rPr>
      </w:pPr>
    </w:p>
    <w:p>
      <w:pPr>
        <w:spacing w:after="0" w:line="205" w:lineRule="exact"/>
        <w:rPr>
          <w:sz w:val="20"/>
          <w:szCs w:val="20"/>
          <w:color w:val="auto"/>
        </w:rPr>
      </w:pPr>
    </w:p>
    <w:p>
      <w:pPr>
        <w:jc w:val="right"/>
        <w:ind w:right="6420"/>
        <w:spacing w:after="0"/>
        <w:tabs>
          <w:tab w:leader="none" w:pos="8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Kevin Costello</w:t>
      </w:r>
    </w:p>
    <w:p>
      <w:pPr>
        <w:jc w:val="right"/>
        <w:ind w:right="6420"/>
        <w:spacing w:after="0" w:line="238" w:lineRule="auto"/>
        <w:rPr>
          <w:sz w:val="20"/>
          <w:szCs w:val="20"/>
          <w:color w:val="auto"/>
        </w:rPr>
      </w:pPr>
      <w:r>
        <w:rPr>
          <w:rFonts w:ascii="Courier New" w:cs="Courier New" w:eastAsia="Courier New" w:hAnsi="Courier New"/>
          <w:sz w:val="18"/>
          <w:szCs w:val="18"/>
          <w:color w:val="auto"/>
        </w:rPr>
        <w:t>Kevin Costello</w:t>
      </w:r>
    </w:p>
    <w:sectPr>
      <w:pgSz w:w="11900" w:h="16838" w:orient="portrait"/>
      <w:cols w:equalWidth="0" w:num="1">
        <w:col w:w="10540"/>
      </w:cols>
      <w:pgMar w:left="240" w:top="136"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230" TargetMode="External"/><Relationship Id="rId13" Type="http://schemas.openxmlformats.org/officeDocument/2006/relationships/hyperlink" Target="http://www.sec.gov/cgi-bin/browse-edgar?action=getcompany&amp;CIK=00015339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2019-12-24T07:41:51Z</dcterms:created>
  <dcterms:modified xsi:type="dcterms:W3CDTF">2019-12-24T07:41:51Z</dcterms:modified>
</cp:coreProperties>
</file>