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United States Securities and Exchange Commission on October 21, 2009.</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333-146996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METAVANTE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920" w:type="dxa"/>
            <w:vAlign w:val="bottom"/>
          </w:tcPr>
          <w:p>
            <w:pPr>
              <w:jc w:val="center"/>
              <w:ind w:right="1802"/>
              <w:spacing w:after="0"/>
              <w:rPr>
                <w:sz w:val="20"/>
                <w:szCs w:val="20"/>
                <w:color w:val="auto"/>
              </w:rPr>
            </w:pPr>
            <w:r>
              <w:rPr>
                <w:rFonts w:ascii="Arial" w:cs="Arial" w:eastAsia="Arial" w:hAnsi="Arial"/>
                <w:sz w:val="18"/>
                <w:szCs w:val="18"/>
                <w:b w:val="1"/>
                <w:bCs w:val="1"/>
                <w:color w:val="auto"/>
                <w:w w:val="84"/>
              </w:rPr>
              <w:t>Wisconsin</w:t>
            </w:r>
          </w:p>
        </w:tc>
        <w:tc>
          <w:tcPr>
            <w:tcW w:w="2960" w:type="dxa"/>
            <w:vAlign w:val="bottom"/>
          </w:tcPr>
          <w:p>
            <w:pPr>
              <w:jc w:val="right"/>
              <w:ind w:right="44"/>
              <w:spacing w:after="0"/>
              <w:rPr>
                <w:sz w:val="20"/>
                <w:szCs w:val="20"/>
                <w:color w:val="auto"/>
              </w:rPr>
            </w:pPr>
            <w:r>
              <w:rPr>
                <w:rFonts w:ascii="Arial" w:cs="Arial" w:eastAsia="Arial" w:hAnsi="Arial"/>
                <w:sz w:val="18"/>
                <w:szCs w:val="18"/>
                <w:b w:val="1"/>
                <w:bCs w:val="1"/>
                <w:color w:val="auto"/>
              </w:rPr>
              <w:t>39-0968604</w:t>
            </w:r>
          </w:p>
        </w:tc>
      </w:tr>
      <w:tr>
        <w:trPr>
          <w:trHeight w:val="149"/>
        </w:trPr>
        <w:tc>
          <w:tcPr>
            <w:tcW w:w="4920" w:type="dxa"/>
            <w:vAlign w:val="bottom"/>
          </w:tcPr>
          <w:p>
            <w:pPr>
              <w:jc w:val="center"/>
              <w:ind w:right="18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60" w:type="dxa"/>
            <w:vAlign w:val="bottom"/>
          </w:tcPr>
          <w:p>
            <w:pPr>
              <w:jc w:val="center"/>
              <w:ind w:left="18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20" w:type="dxa"/>
            <w:vAlign w:val="bottom"/>
          </w:tcPr>
          <w:p>
            <w:pPr>
              <w:jc w:val="center"/>
              <w:ind w:right="1802"/>
              <w:spacing w:after="0"/>
              <w:rPr>
                <w:sz w:val="20"/>
                <w:szCs w:val="20"/>
                <w:color w:val="auto"/>
              </w:rPr>
            </w:pPr>
            <w:r>
              <w:rPr>
                <w:rFonts w:ascii="Arial" w:cs="Arial" w:eastAsia="Arial" w:hAnsi="Arial"/>
                <w:sz w:val="14"/>
                <w:szCs w:val="14"/>
                <w:b w:val="1"/>
                <w:bCs w:val="1"/>
                <w:color w:val="auto"/>
                <w:w w:val="88"/>
              </w:rPr>
              <w:t>incorporation or organization)</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920" w:type="dxa"/>
            <w:vAlign w:val="bottom"/>
          </w:tcPr>
          <w:p>
            <w:pPr>
              <w:jc w:val="center"/>
              <w:ind w:right="1782"/>
              <w:spacing w:after="0"/>
              <w:rPr>
                <w:sz w:val="20"/>
                <w:szCs w:val="20"/>
                <w:color w:val="auto"/>
              </w:rPr>
            </w:pPr>
            <w:r>
              <w:rPr>
                <w:rFonts w:ascii="Arial" w:cs="Arial" w:eastAsia="Arial" w:hAnsi="Arial"/>
                <w:sz w:val="18"/>
                <w:szCs w:val="18"/>
                <w:b w:val="1"/>
                <w:bCs w:val="1"/>
                <w:color w:val="auto"/>
                <w:w w:val="90"/>
              </w:rPr>
              <w:t>c/o Metavante Holdings, LLC</w:t>
            </w:r>
          </w:p>
        </w:tc>
        <w:tc>
          <w:tcPr>
            <w:tcW w:w="2960" w:type="dxa"/>
            <w:vAlign w:val="bottom"/>
          </w:tcPr>
          <w:p>
            <w:pPr>
              <w:spacing w:after="0"/>
              <w:rPr>
                <w:sz w:val="24"/>
                <w:szCs w:val="24"/>
                <w:color w:val="auto"/>
              </w:rPr>
            </w:pPr>
          </w:p>
        </w:tc>
      </w:tr>
      <w:tr>
        <w:trPr>
          <w:trHeight w:val="231"/>
        </w:trPr>
        <w:tc>
          <w:tcPr>
            <w:tcW w:w="4920" w:type="dxa"/>
            <w:vAlign w:val="bottom"/>
          </w:tcPr>
          <w:p>
            <w:pPr>
              <w:jc w:val="center"/>
              <w:ind w:right="1802"/>
              <w:spacing w:after="0"/>
              <w:rPr>
                <w:sz w:val="20"/>
                <w:szCs w:val="20"/>
                <w:color w:val="auto"/>
              </w:rPr>
            </w:pPr>
            <w:r>
              <w:rPr>
                <w:rFonts w:ascii="Arial" w:cs="Arial" w:eastAsia="Arial" w:hAnsi="Arial"/>
                <w:sz w:val="18"/>
                <w:szCs w:val="18"/>
                <w:b w:val="1"/>
                <w:bCs w:val="1"/>
                <w:color w:val="auto"/>
                <w:w w:val="87"/>
              </w:rPr>
              <w:t>601 Riverside Ave., Jacksonville, Florida</w:t>
            </w:r>
          </w:p>
        </w:tc>
        <w:tc>
          <w:tcPr>
            <w:tcW w:w="2960" w:type="dxa"/>
            <w:vAlign w:val="bottom"/>
          </w:tcPr>
          <w:p>
            <w:pPr>
              <w:jc w:val="right"/>
              <w:ind w:right="244"/>
              <w:spacing w:after="0"/>
              <w:rPr>
                <w:sz w:val="20"/>
                <w:szCs w:val="20"/>
                <w:color w:val="auto"/>
              </w:rPr>
            </w:pPr>
            <w:r>
              <w:rPr>
                <w:rFonts w:ascii="Arial" w:cs="Arial" w:eastAsia="Arial" w:hAnsi="Arial"/>
                <w:sz w:val="18"/>
                <w:szCs w:val="18"/>
                <w:b w:val="1"/>
                <w:bCs w:val="1"/>
                <w:color w:val="auto"/>
              </w:rPr>
              <w:t>32204</w:t>
            </w:r>
          </w:p>
        </w:tc>
      </w:tr>
      <w:tr>
        <w:trPr>
          <w:trHeight w:val="174"/>
        </w:trPr>
        <w:tc>
          <w:tcPr>
            <w:tcW w:w="4920" w:type="dxa"/>
            <w:vAlign w:val="bottom"/>
          </w:tcPr>
          <w:p>
            <w:pPr>
              <w:jc w:val="center"/>
              <w:ind w:right="17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METAVANTE 2007 EQUITY INCENTIVE PLAN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Ronald D. Cook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Metavante Holdings,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 Riverside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Jacksonville, Florida 32204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(904) 854-5000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480" w:type="dxa"/>
            <w:vAlign w:val="bottom"/>
          </w:tcPr>
          <w:p>
            <w:pPr>
              <w:ind w:left="860"/>
              <w:spacing w:after="0"/>
              <w:rPr>
                <w:sz w:val="20"/>
                <w:szCs w:val="20"/>
                <w:color w:val="auto"/>
              </w:rPr>
            </w:pPr>
            <w:r>
              <w:rPr>
                <w:rFonts w:ascii="Arial" w:cs="Arial" w:eastAsia="Arial" w:hAnsi="Arial"/>
                <w:sz w:val="18"/>
                <w:szCs w:val="18"/>
                <w:color w:val="auto"/>
                <w:w w:val="89"/>
              </w:rPr>
              <w:t>Large accelerated filer</w:t>
            </w:r>
          </w:p>
        </w:tc>
        <w:tc>
          <w:tcPr>
            <w:tcW w:w="47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2480" w:type="dxa"/>
            <w:vAlign w:val="bottom"/>
          </w:tcPr>
          <w:p>
            <w:pPr>
              <w:ind w:left="860"/>
              <w:spacing w:after="0"/>
              <w:rPr>
                <w:sz w:val="20"/>
                <w:szCs w:val="20"/>
                <w:color w:val="auto"/>
              </w:rPr>
            </w:pPr>
            <w:r>
              <w:rPr>
                <w:rFonts w:ascii="Arial" w:cs="Arial" w:eastAsia="Arial" w:hAnsi="Arial"/>
                <w:sz w:val="18"/>
                <w:szCs w:val="18"/>
                <w:color w:val="auto"/>
                <w:w w:val="96"/>
              </w:rPr>
              <w:t>Non-accelerated filer</w:t>
            </w:r>
          </w:p>
        </w:tc>
        <w:tc>
          <w:tcPr>
            <w:tcW w:w="472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1180"/>
              <w:spacing w:after="0"/>
              <w:rPr>
                <w:sz w:val="20"/>
                <w:szCs w:val="20"/>
                <w:color w:val="auto"/>
              </w:rPr>
            </w:pPr>
            <w:r>
              <w:rPr>
                <w:rFonts w:ascii="Arial" w:cs="Arial" w:eastAsia="Arial" w:hAnsi="Arial"/>
                <w:sz w:val="18"/>
                <w:szCs w:val="18"/>
                <w:color w:val="auto"/>
                <w:w w:val="90"/>
              </w:rPr>
              <w:t>Smaller reporting company</w:t>
            </w:r>
          </w:p>
        </w:tc>
        <w:tc>
          <w:tcPr>
            <w:tcW w:w="1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63"/>
        </w:trPr>
        <w:tc>
          <w:tcPr>
            <w:tcW w:w="2480" w:type="dxa"/>
            <w:vAlign w:val="bottom"/>
            <w:tcBorders>
              <w:bottom w:val="single" w:sz="8" w:color="auto"/>
            </w:tcBorders>
          </w:tcPr>
          <w:p>
            <w:pPr>
              <w:spacing w:after="0"/>
              <w:rPr>
                <w:sz w:val="5"/>
                <w:szCs w:val="5"/>
                <w:color w:val="auto"/>
              </w:rPr>
            </w:pPr>
          </w:p>
        </w:tc>
        <w:tc>
          <w:tcPr>
            <w:tcW w:w="472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4"/>
        </w:trPr>
        <w:tc>
          <w:tcPr>
            <w:tcW w:w="24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Post-Effective Amendment No. 1 relates to the Registration Statement on Form S-8 (Registration No. 333-146996) previously filed by Metavante Technologies, Inc. (“Metavante”) on October 29, 2007 (the “Registration Statement”).</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Pursuant to the Agreement and Plan of Merger, dated as of March 31, 2009, by and among Fidelity National Information Services, Inc. (“FIS”), Cars Holdings, LLC (renamed Metavante Holdings, LLC as of the effective time of the Merger), a direct, wholly owned subsidiary of FIS (“Merger Sub”), and Metavante, Metavante merged with and into Merger Sub, with Metavante ceasing to exist and Merger Sub surviving the merger and remaining a wholly owned subsidiary of FIS (the “Merger”). The Merger became effective at 10:00 a.m., Eastern Time, on October 1, 2009 (the “Effective Time”).</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the Effective Time, each share of Metavante common stock outstanding immediately prior to the Effective Time was cancelled and automatically converted into the right to receive 1.35 shares of FIS common stock.</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the Merger, Metavante has terminated all offerings of securities pursuant to its existing registration statements under the Securities Act of 1933, as amended, including the Registration Statement. In accordance with the undertaking made by Metavante in the Registration Statement to remove from registration by means of a post-effective amendment any of its securities being registered under the Registration Statement which remain unsold at the termination of the offering, Merger Sub (as successor to Metavante) hereby terminates the effectiveness of the Registration Statement and deregisters any and all shares of Metavante common stock originally reserved for issuance under the plan covered by the Registration Statement and registered under the Registration Statement, which remain unsold or unissued as of the date hereof.</w:t>
      </w:r>
    </w:p>
    <w:p>
      <w:pPr>
        <w:spacing w:after="0" w:line="282" w:lineRule="exact"/>
        <w:rPr>
          <w:sz w:val="20"/>
          <w:szCs w:val="20"/>
          <w:color w:val="auto"/>
        </w:rPr>
      </w:pPr>
    </w:p>
    <w:p>
      <w:pPr>
        <w:ind w:left="5060"/>
        <w:spacing w:after="0"/>
        <w:tabs>
          <w:tab w:leader="none" w:pos="566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Jacksonville, State of Florida, on October 21, 2009.</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METAVANTE HOLDINGS, LLC (as successor to Metavante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Technologies, Inc.)</w:t>
      </w:r>
    </w:p>
    <w:p>
      <w:pPr>
        <w:spacing w:after="0" w:line="219"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ONALD</w:t>
      </w:r>
      <w:r>
        <w:rPr>
          <w:rFonts w:ascii="Arial" w:cs="Arial" w:eastAsia="Arial" w:hAnsi="Arial"/>
          <w:sz w:val="16"/>
          <w:szCs w:val="16"/>
          <w:color w:val="auto"/>
        </w:rPr>
        <w:t xml:space="preserve"> D. C</w:t>
      </w:r>
      <w:r>
        <w:rPr>
          <w:rFonts w:ascii="Arial" w:cs="Arial" w:eastAsia="Arial" w:hAnsi="Arial"/>
          <w:sz w:val="13"/>
          <w:szCs w:val="13"/>
          <w:color w:val="auto"/>
        </w:rPr>
        <w:t>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Name: Ronald D. Cook</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Title: Executive Vice President, General Counsel and Corporate</w:t>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Capacity</w:t>
            </w:r>
          </w:p>
        </w:tc>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60" w:type="dxa"/>
            <w:vAlign w:val="bottom"/>
          </w:tcPr>
          <w:p>
            <w:pPr>
              <w:spacing w:after="0"/>
              <w:rPr>
                <w:sz w:val="14"/>
                <w:szCs w:val="14"/>
                <w:color w:val="auto"/>
              </w:rPr>
            </w:pPr>
          </w:p>
        </w:tc>
      </w:tr>
      <w:tr>
        <w:trPr>
          <w:trHeight w:val="424"/>
        </w:trPr>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RANK</w:t>
            </w:r>
            <w:r>
              <w:rPr>
                <w:rFonts w:ascii="Arial" w:cs="Arial" w:eastAsia="Arial" w:hAnsi="Arial"/>
                <w:sz w:val="18"/>
                <w:szCs w:val="18"/>
                <w:color w:val="auto"/>
                <w:w w:val="99"/>
              </w:rPr>
              <w:t xml:space="preserve"> R. M</w:t>
            </w:r>
            <w:r>
              <w:rPr>
                <w:rFonts w:ascii="Arial" w:cs="Arial" w:eastAsia="Arial" w:hAnsi="Arial"/>
                <w:sz w:val="14"/>
                <w:szCs w:val="14"/>
                <w:color w:val="auto"/>
                <w:w w:val="99"/>
              </w:rPr>
              <w:t>ARTIRE</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c>
          <w:tcPr>
            <w:tcW w:w="18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October 21, 2009</w:t>
            </w:r>
          </w:p>
        </w:tc>
      </w:tr>
      <w:tr>
        <w:trPr>
          <w:trHeight w:val="202"/>
        </w:trPr>
        <w:tc>
          <w:tcPr>
            <w:tcW w:w="1320" w:type="dxa"/>
            <w:vAlign w:val="bottom"/>
          </w:tcPr>
          <w:p>
            <w:pPr>
              <w:spacing w:after="0"/>
              <w:rPr>
                <w:sz w:val="17"/>
                <w:szCs w:val="17"/>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3"/>
              </w:rPr>
              <w:t>Frank R. Martire</w:t>
            </w:r>
          </w:p>
        </w:tc>
        <w:tc>
          <w:tcPr>
            <w:tcW w:w="50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EORGE</w:t>
            </w:r>
            <w:r>
              <w:rPr>
                <w:rFonts w:ascii="Arial" w:cs="Arial" w:eastAsia="Arial" w:hAnsi="Arial"/>
                <w:sz w:val="18"/>
                <w:szCs w:val="18"/>
                <w:color w:val="auto"/>
                <w:w w:val="95"/>
              </w:rPr>
              <w:t xml:space="preserve"> P. S</w:t>
            </w:r>
            <w:r>
              <w:rPr>
                <w:rFonts w:ascii="Arial" w:cs="Arial" w:eastAsia="Arial" w:hAnsi="Arial"/>
                <w:sz w:val="14"/>
                <w:szCs w:val="14"/>
                <w:color w:val="auto"/>
                <w:w w:val="95"/>
              </w:rPr>
              <w:t>CANLON</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Chief Financial Officer and Chief</w:t>
            </w:r>
          </w:p>
        </w:tc>
        <w:tc>
          <w:tcPr>
            <w:tcW w:w="18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October 21, 2009</w:t>
            </w:r>
          </w:p>
        </w:tc>
      </w:tr>
      <w:tr>
        <w:trPr>
          <w:trHeight w:val="190"/>
        </w:trPr>
        <w:tc>
          <w:tcPr>
            <w:tcW w:w="1320" w:type="dxa"/>
            <w:vAlign w:val="bottom"/>
          </w:tcPr>
          <w:p>
            <w:pPr>
              <w:spacing w:after="0"/>
              <w:rPr>
                <w:sz w:val="16"/>
                <w:szCs w:val="16"/>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George P. Scanlon</w:t>
            </w:r>
          </w:p>
        </w:tc>
        <w:tc>
          <w:tcPr>
            <w:tcW w:w="508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Accounting Officer</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22"/>
        </w:trPr>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2019-12-11T04:25:27Z</dcterms:created>
  <dcterms:modified xsi:type="dcterms:W3CDTF">2019-12-11T04:25:27Z</dcterms:modified>
</cp:coreProperties>
</file>