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001-16427</w:t>
        </w:r>
      </w:hyperlink>
    </w:p>
    <w:p>
      <w:pPr>
        <w:spacing w:after="0" w:line="125" w:lineRule="exact"/>
        <w:rPr>
          <w:sz w:val="24"/>
          <w:szCs w:val="24"/>
          <w:color w:val="auto"/>
        </w:rPr>
      </w:pPr>
    </w:p>
    <w:p>
      <w:pPr>
        <w:ind w:left="2640"/>
        <w:spacing w:after="0"/>
        <w:tabs>
          <w:tab w:leader="none" w:pos="35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Fidelity National Information Services, Inc.</w:t>
        </w:r>
      </w:hyperlink>
    </w:p>
    <w:p>
      <w:pPr>
        <w:spacing w:after="0" w:line="44"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jc w:val="right"/>
        <w:ind w:righ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jc w:val="right"/>
        <w:ind w:right="4280"/>
        <w:spacing w:after="0"/>
        <w:rPr>
          <w:sz w:val="20"/>
          <w:szCs w:val="20"/>
          <w:color w:val="auto"/>
        </w:rPr>
      </w:pPr>
      <w:r>
        <w:rPr>
          <w:rFonts w:ascii="Arial" w:cs="Arial" w:eastAsia="Arial" w:hAnsi="Arial"/>
          <w:sz w:val="22"/>
          <w:szCs w:val="22"/>
          <w:color w:val="auto"/>
        </w:rPr>
        <w:t>Address: 601 Riverside Avenue</w:t>
      </w:r>
    </w:p>
    <w:p>
      <w:pPr>
        <w:spacing w:after="0" w:line="44"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Jacksonville FLORIDA 32204</w:t>
      </w:r>
    </w:p>
    <w:p>
      <w:pPr>
        <w:spacing w:after="0" w:line="44" w:lineRule="exact"/>
        <w:rPr>
          <w:sz w:val="24"/>
          <w:szCs w:val="24"/>
          <w:color w:val="auto"/>
        </w:rPr>
      </w:pPr>
    </w:p>
    <w:tbl>
      <w:tblPr>
        <w:tblLayout w:type="fixed"/>
        <w:tblInd w:w="210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740" w:type="dxa"/>
            <w:vAlign w:val="bottom"/>
          </w:tcPr>
          <w:p>
            <w:pPr>
              <w:jc w:val="right"/>
              <w:spacing w:after="0"/>
              <w:rPr>
                <w:sz w:val="20"/>
                <w:szCs w:val="20"/>
                <w:color w:val="auto"/>
              </w:rPr>
            </w:pPr>
            <w:r>
              <w:rPr>
                <w:rFonts w:ascii="Arial" w:cs="Arial" w:eastAsia="Arial" w:hAnsi="Arial"/>
                <w:sz w:val="22"/>
                <w:szCs w:val="22"/>
                <w:color w:val="auto"/>
              </w:rPr>
              <w:t>(904) 438-6000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Floating Rate Senior Notes due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2021-05-21</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8"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01, 2021, pursuant to the provisions of Rule 12d2-2 (a). [ X ] 17 CFR 240.12d2-2(a)(2) That the entire class of this security was redeemed or paid at maturity or retirement on May 21, 2021. The Exchange also notifies the Securities and Exchange Commission that as a result of the above indicated conditions this security was suspended from trading on May 21, 2021.</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16427" TargetMode="External"/><Relationship Id="rId10"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2021-05-21T12:42:54Z</dcterms:created>
  <dcterms:modified xsi:type="dcterms:W3CDTF">2021-05-21T12:42:54Z</dcterms:modified>
</cp:coreProperties>
</file>