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UNITED STATES</w:t>
      </w:r>
    </w:p>
    <w:p>
      <w:pPr>
        <w:spacing w:after="0" w:line="32" w:lineRule="exact"/>
        <w:rPr>
          <w:sz w:val="24"/>
          <w:szCs w:val="24"/>
          <w:color w:val="auto"/>
        </w:rPr>
      </w:pPr>
    </w:p>
    <w:p>
      <w:pPr>
        <w:ind w:left="2800"/>
        <w:spacing w:after="0"/>
        <w:rPr>
          <w:sz w:val="20"/>
          <w:szCs w:val="20"/>
          <w:color w:val="auto"/>
        </w:rPr>
      </w:pPr>
      <w:r>
        <w:rPr>
          <w:rFonts w:ascii="Arial" w:cs="Arial" w:eastAsia="Arial" w:hAnsi="Arial"/>
          <w:sz w:val="16"/>
          <w:szCs w:val="16"/>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182"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SCHEDULE 14A</w:t>
      </w:r>
    </w:p>
    <w:p>
      <w:pPr>
        <w:spacing w:after="0" w:line="181" w:lineRule="exact"/>
        <w:rPr>
          <w:sz w:val="24"/>
          <w:szCs w:val="24"/>
          <w:color w:val="auto"/>
        </w:rPr>
      </w:pPr>
    </w:p>
    <w:p>
      <w:pPr>
        <w:ind w:left="2740"/>
        <w:spacing w:after="0"/>
        <w:rPr>
          <w:sz w:val="20"/>
          <w:szCs w:val="20"/>
          <w:color w:val="auto"/>
        </w:rPr>
      </w:pPr>
      <w:r>
        <w:rPr>
          <w:rFonts w:ascii="Arial" w:cs="Arial" w:eastAsia="Arial" w:hAnsi="Arial"/>
          <w:sz w:val="16"/>
          <w:szCs w:val="16"/>
          <w:color w:val="auto"/>
        </w:rPr>
        <w:t>Proxy Statement Pursuant to Section 14(a) of the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Exchange Act of 1934 (Amendment No. )</w:t>
      </w:r>
    </w:p>
    <w:p>
      <w:pPr>
        <w:spacing w:after="0" w:line="187" w:lineRule="exact"/>
        <w:rPr>
          <w:sz w:val="24"/>
          <w:szCs w:val="24"/>
          <w:color w:val="auto"/>
        </w:rPr>
      </w:pPr>
    </w:p>
    <w:p>
      <w:pPr>
        <w:ind w:left="140"/>
        <w:spacing w:after="0" w:line="242" w:lineRule="exact"/>
        <w:tabs>
          <w:tab w:leader="none" w:pos="480" w:val="left"/>
          <w:tab w:leader="none" w:pos="450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6"/>
          <w:szCs w:val="16"/>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6"/>
          <w:szCs w:val="16"/>
          <w:color w:val="auto"/>
        </w:rPr>
        <w:t>Filed by a party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00"/>
        <w:spacing w:after="0"/>
        <w:rPr>
          <w:sz w:val="20"/>
          <w:szCs w:val="20"/>
          <w:color w:val="auto"/>
        </w:rPr>
      </w:pPr>
      <w:r>
        <w:rPr>
          <w:rFonts w:ascii="Arial" w:cs="Arial" w:eastAsia="Arial" w:hAnsi="Arial"/>
          <w:sz w:val="16"/>
          <w:szCs w:val="16"/>
          <w:color w:val="auto"/>
        </w:rPr>
        <w:t>CHECK THE APPROPRIATE BOX:</w:t>
      </w:r>
    </w:p>
    <w:p>
      <w:pPr>
        <w:spacing w:after="0" w:line="118" w:lineRule="exact"/>
        <w:rPr>
          <w:sz w:val="24"/>
          <w:szCs w:val="24"/>
          <w:color w:val="auto"/>
        </w:rPr>
      </w:pPr>
    </w:p>
    <w:p>
      <w:pPr>
        <w:ind w:left="520" w:hanging="299"/>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Preliminary Proxy Statement</w:t>
      </w:r>
    </w:p>
    <w:p>
      <w:pPr>
        <w:spacing w:after="0" w:line="101" w:lineRule="exact"/>
        <w:rPr>
          <w:rFonts w:ascii="MS PGothic" w:cs="MS PGothic" w:eastAsia="MS PGothic" w:hAnsi="MS PGothic"/>
          <w:sz w:val="22"/>
          <w:szCs w:val="22"/>
          <w:color w:val="auto"/>
        </w:rPr>
      </w:pPr>
    </w:p>
    <w:p>
      <w:pPr>
        <w:ind w:left="520" w:hanging="299"/>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Confidential, for Use of the Commission Only (as permitted by Rule 14a-6(e)(2))</w:t>
      </w:r>
    </w:p>
    <w:p>
      <w:pPr>
        <w:spacing w:after="0" w:line="101" w:lineRule="exact"/>
        <w:rPr>
          <w:sz w:val="24"/>
          <w:szCs w:val="24"/>
          <w:color w:val="auto"/>
        </w:rPr>
      </w:pPr>
    </w:p>
    <w:p>
      <w:pPr>
        <w:ind w:left="520" w:hanging="299"/>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Definitive Proxy Statement</w:t>
      </w:r>
    </w:p>
    <w:p>
      <w:pPr>
        <w:spacing w:after="0" w:line="101" w:lineRule="exact"/>
        <w:rPr>
          <w:sz w:val="24"/>
          <w:szCs w:val="24"/>
          <w:color w:val="auto"/>
        </w:rPr>
      </w:pPr>
    </w:p>
    <w:p>
      <w:pPr>
        <w:ind w:left="520" w:hanging="299"/>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6"/>
          <w:szCs w:val="16"/>
          <w:color w:val="auto"/>
        </w:rPr>
        <w:t>Definitive Additional Materials</w:t>
      </w:r>
    </w:p>
    <w:p>
      <w:pPr>
        <w:spacing w:after="0" w:line="101" w:lineRule="exact"/>
        <w:rPr>
          <w:rFonts w:ascii="MS PGothic" w:cs="MS PGothic" w:eastAsia="MS PGothic" w:hAnsi="MS PGothic"/>
          <w:sz w:val="22"/>
          <w:szCs w:val="22"/>
          <w:color w:val="auto"/>
        </w:rPr>
      </w:pPr>
    </w:p>
    <w:p>
      <w:pPr>
        <w:ind w:left="520" w:hanging="299"/>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Fidelity National Information Services, Inc.</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of Registrant as Specified In Its Charter)</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spacing w:after="0" w:line="291" w:lineRule="exact"/>
        <w:rPr>
          <w:sz w:val="24"/>
          <w:szCs w:val="24"/>
          <w:color w:val="auto"/>
        </w:rPr>
      </w:pPr>
    </w:p>
    <w:p>
      <w:pPr>
        <w:ind w:left="200"/>
        <w:spacing w:after="0"/>
        <w:rPr>
          <w:sz w:val="20"/>
          <w:szCs w:val="20"/>
          <w:color w:val="auto"/>
        </w:rPr>
      </w:pPr>
      <w:r>
        <w:rPr>
          <w:rFonts w:ascii="Arial" w:cs="Arial" w:eastAsia="Arial" w:hAnsi="Arial"/>
          <w:sz w:val="16"/>
          <w:szCs w:val="16"/>
          <w:color w:val="auto"/>
        </w:rPr>
        <w:t>PAYMENT OF FILING FEE (CHECK ALL BOXES THAT APPLY):</w:t>
      </w:r>
    </w:p>
    <w:p>
      <w:pPr>
        <w:spacing w:after="0" w:line="118" w:lineRule="exact"/>
        <w:rPr>
          <w:sz w:val="24"/>
          <w:szCs w:val="24"/>
          <w:color w:val="auto"/>
        </w:rPr>
      </w:pPr>
    </w:p>
    <w:p>
      <w:pPr>
        <w:ind w:left="520" w:hanging="299"/>
        <w:spacing w:after="0"/>
        <w:tabs>
          <w:tab w:leader="none" w:pos="520" w:val="left"/>
        </w:tabs>
        <w:numPr>
          <w:ilvl w:val="0"/>
          <w:numId w:val="4"/>
        </w:numPr>
        <w:rPr>
          <w:rFonts w:ascii="MS PGothic" w:cs="MS PGothic" w:eastAsia="MS PGothic" w:hAnsi="MS PGothic"/>
          <w:sz w:val="22"/>
          <w:szCs w:val="22"/>
          <w:color w:val="auto"/>
        </w:rPr>
      </w:pPr>
      <w:r>
        <w:rPr>
          <w:rFonts w:ascii="Arial" w:cs="Arial" w:eastAsia="Arial" w:hAnsi="Arial"/>
          <w:sz w:val="16"/>
          <w:szCs w:val="16"/>
          <w:color w:val="auto"/>
        </w:rPr>
        <w:t>No fee required</w:t>
      </w:r>
    </w:p>
    <w:p>
      <w:pPr>
        <w:spacing w:after="0" w:line="101" w:lineRule="exact"/>
        <w:rPr>
          <w:sz w:val="24"/>
          <w:szCs w:val="24"/>
          <w:color w:val="auto"/>
        </w:rPr>
      </w:pPr>
    </w:p>
    <w:p>
      <w:pPr>
        <w:ind w:left="520" w:hanging="299"/>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6"/>
          <w:szCs w:val="16"/>
          <w:color w:val="auto"/>
        </w:rPr>
        <w:t>Fee paid previously with preliminary materials</w:t>
      </w:r>
    </w:p>
    <w:p>
      <w:pPr>
        <w:spacing w:after="0" w:line="101" w:lineRule="exact"/>
        <w:rPr>
          <w:rFonts w:ascii="MS PGothic" w:cs="MS PGothic" w:eastAsia="MS PGothic" w:hAnsi="MS PGothic"/>
          <w:sz w:val="22"/>
          <w:szCs w:val="22"/>
          <w:color w:val="auto"/>
        </w:rPr>
      </w:pPr>
    </w:p>
    <w:p>
      <w:pPr>
        <w:ind w:left="520" w:hanging="299"/>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6"/>
          <w:szCs w:val="16"/>
          <w:color w:val="auto"/>
        </w:rPr>
        <w:t>Fee computed on table in exhibit required by Item 25(b) per Exchange Act Rules 14a-6(i)(1) and 0-11</w:t>
      </w:r>
    </w:p>
    <w:p>
      <w:pPr>
        <w:sectPr>
          <w:pgSz w:w="11900" w:h="16838" w:orient="portrait"/>
          <w:cols w:equalWidth="0" w:num="1">
            <w:col w:w="9019"/>
          </w:cols>
          <w:pgMar w:left="1440" w:top="1232" w:right="1440" w:bottom="1440" w:gutter="0" w:footer="0" w:header="0"/>
        </w:sectPr>
      </w:pPr>
    </w:p>
    <w:bookmarkStart w:id="1" w:name="page2"/>
    <w:bookmarkEnd w:id="1"/>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line="321" w:lineRule="auto"/>
        <w:rPr>
          <w:sz w:val="20"/>
          <w:szCs w:val="20"/>
          <w:color w:val="auto"/>
        </w:rPr>
      </w:pPr>
      <w:r>
        <w:rPr>
          <w:rFonts w:ascii="Arial" w:cs="Arial" w:eastAsia="Arial" w:hAnsi="Arial"/>
          <w:sz w:val="16"/>
          <w:szCs w:val="16"/>
          <w:color w:val="auto"/>
        </w:rPr>
        <w:t>Documents that are referred to in this proxy statement or that are hyperlinked in the electronic version of this proxy statement are not incorporated by reference herein and should not be considered to be part of this proxy statement.</w:t>
      </w:r>
    </w:p>
    <w:p>
      <w:pPr>
        <w:sectPr>
          <w:pgSz w:w="11900" w:h="16838" w:orient="portrait"/>
          <w:cols w:equalWidth="0" w:num="1">
            <w:col w:w="9500"/>
          </w:cols>
          <w:pgMar w:left="1200" w:top="1440" w:right="1199" w:bottom="1440" w:gutter="0" w:footer="0" w:header="0"/>
        </w:sectPr>
      </w:pPr>
    </w:p>
    <w:bookmarkStart w:id="3" w:name="page4"/>
    <w:bookmarkEnd w:id="3"/>
    <w:p>
      <w:pPr>
        <w:ind w:left="140" w:right="800"/>
        <w:spacing w:after="0" w:line="307" w:lineRule="auto"/>
        <w:rPr>
          <w:sz w:val="20"/>
          <w:szCs w:val="20"/>
          <w:color w:val="auto"/>
        </w:rPr>
      </w:pPr>
      <w:r>
        <w:rPr>
          <w:rFonts w:ascii="Arial" w:cs="Arial" w:eastAsia="Arial" w:hAnsi="Arial"/>
          <w:sz w:val="52"/>
          <w:szCs w:val="52"/>
          <w:color w:val="FFFFFF"/>
        </w:rPr>
        <w:t>To Our Valued Shareholders</w:t>
      </w:r>
    </w:p>
    <w:p>
      <w:pPr>
        <w:spacing w:after="0" w:line="295" w:lineRule="exact"/>
        <w:rPr>
          <w:sz w:val="20"/>
          <w:szCs w:val="20"/>
          <w:color w:val="auto"/>
        </w:rPr>
      </w:pPr>
    </w:p>
    <w:p>
      <w:pPr>
        <w:ind w:left="140"/>
        <w:spacing w:after="0" w:line="269" w:lineRule="auto"/>
        <w:rPr>
          <w:sz w:val="20"/>
          <w:szCs w:val="20"/>
          <w:color w:val="auto"/>
        </w:rPr>
      </w:pPr>
      <w:r>
        <w:rPr>
          <w:rFonts w:ascii="Arial" w:cs="Arial" w:eastAsia="Arial" w:hAnsi="Arial"/>
          <w:sz w:val="16"/>
          <w:szCs w:val="16"/>
          <w:color w:val="auto"/>
        </w:rPr>
        <w:t>In 2025, FIS achieved meaningful strategic, operational and financial accomplishments. 2025 was also a year marked by the acceleration in technological advancements in our industry, with FIS at the forefront, remaining steadfast in its focus and execution. Under the leadership of our CEO, Stephanie Ferris, we continued to prioritize our commitment to our clients, executed on our strategy and met or exceeded our expected financial outcomes.</w:t>
      </w:r>
    </w:p>
    <w:p>
      <w:pPr>
        <w:spacing w:after="0" w:line="132" w:lineRule="exact"/>
        <w:rPr>
          <w:sz w:val="20"/>
          <w:szCs w:val="20"/>
          <w:color w:val="auto"/>
        </w:rPr>
      </w:pPr>
    </w:p>
    <w:p>
      <w:pPr>
        <w:ind w:left="140" w:right="60"/>
        <w:spacing w:after="0" w:line="267" w:lineRule="auto"/>
        <w:rPr>
          <w:sz w:val="20"/>
          <w:szCs w:val="20"/>
          <w:color w:val="auto"/>
        </w:rPr>
      </w:pPr>
      <w:r>
        <w:rPr>
          <w:rFonts w:ascii="Arial" w:cs="Arial" w:eastAsia="Arial" w:hAnsi="Arial"/>
          <w:sz w:val="16"/>
          <w:szCs w:val="16"/>
          <w:color w:val="auto"/>
        </w:rPr>
        <w:t>We are at an inflection point within the financial services industry, and we believe FIS is uniquely situated to capitalize on this moment. We have proprietary data sets spanning the entire money lifecycle, long-standing relationships with institutions, and a highly specialized regulatory and compliance infrastructure and expertise that took decades to build and cannot be replicated quickly. We are also focused on disciplined investment in our proprietary Data and AI, growing our data moat every day and delivering differentiated value for our clients. As we continue executing on our strategy in 2026, I remain confident in management’s strategy and execution, the growth of the financial services industry, and AI’s potential to serve as a strategic accelerant for FIS.</w:t>
      </w:r>
    </w:p>
    <w:p>
      <w:pPr>
        <w:spacing w:after="0" w:line="131" w:lineRule="exact"/>
        <w:rPr>
          <w:sz w:val="20"/>
          <w:szCs w:val="20"/>
          <w:color w:val="auto"/>
        </w:rPr>
      </w:pPr>
    </w:p>
    <w:p>
      <w:pPr>
        <w:ind w:left="140"/>
        <w:spacing w:after="0" w:line="287" w:lineRule="auto"/>
        <w:rPr>
          <w:sz w:val="20"/>
          <w:szCs w:val="20"/>
          <w:color w:val="auto"/>
        </w:rPr>
      </w:pPr>
      <w:r>
        <w:rPr>
          <w:rFonts w:ascii="Arial" w:cs="Arial" w:eastAsia="Arial" w:hAnsi="Arial"/>
          <w:sz w:val="15"/>
          <w:szCs w:val="15"/>
          <w:color w:val="auto"/>
        </w:rPr>
        <w:t>We achieved a number of strategic milestones this past year that position FIS well for the future. We are particularly proud of our acquisition of Global Payments’ Issuer Solutions business and the simultaneous sale of our remaining equity interest in Worldpay. The transaction meaningfully enhanced FIS’ strategic and financial profile and replaced our non-cash generating minority stake in Worldpay with a growing stream of high-margin recurring revenue and cash flows. It also immediately created client value with the launch of the industry’s first AI transaction platform supporting agentic commerce shortly after the closing.</w:t>
      </w:r>
    </w:p>
    <w:p>
      <w:pPr>
        <w:spacing w:after="0" w:line="121" w:lineRule="exact"/>
        <w:rPr>
          <w:sz w:val="20"/>
          <w:szCs w:val="20"/>
          <w:color w:val="auto"/>
        </w:rPr>
      </w:pPr>
    </w:p>
    <w:p>
      <w:pPr>
        <w:ind w:left="140" w:right="40"/>
        <w:spacing w:after="0" w:line="267" w:lineRule="auto"/>
        <w:rPr>
          <w:sz w:val="20"/>
          <w:szCs w:val="20"/>
          <w:color w:val="auto"/>
        </w:rPr>
      </w:pPr>
      <w:r>
        <w:rPr>
          <w:rFonts w:ascii="Arial" w:cs="Arial" w:eastAsia="Arial" w:hAnsi="Arial"/>
          <w:sz w:val="16"/>
          <w:szCs w:val="16"/>
          <w:color w:val="auto"/>
        </w:rPr>
        <w:t>The Board has strong conviction that FIS’ strategy will drive significant returns to shareholders. To underscore our focus on motivating and incentivizing executives to generate strong total shareholder return (TSR), the Compensation Committee approved a change to the 2026 long-term incentive program: we are broadening TSR as a key performance metric to include all of the CEO’s direct reports. This enhancement to the compensation program further strengthens the link between executive compensation and the shareholder experience. In 2025, 94.5% of our CEO’s total target compensation was at risk based on performance goals and changes in stock price, and approximately 66% of her long-term incentive compensation was performance-based.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59"/>
        <w:spacing w:after="0" w:line="266" w:lineRule="auto"/>
        <w:rPr>
          <w:sz w:val="20"/>
          <w:szCs w:val="20"/>
          <w:color w:val="auto"/>
        </w:rPr>
      </w:pPr>
      <w:r>
        <w:rPr>
          <w:rFonts w:ascii="Arial" w:cs="Arial" w:eastAsia="Arial" w:hAnsi="Arial"/>
          <w:sz w:val="16"/>
          <w:szCs w:val="16"/>
          <w:color w:val="auto"/>
        </w:rPr>
        <w:t>Our Board has a comprehensive set of skills and expertise to oversee our continued transformation journey, supported by robust refreshment practices to further enhance our oversight capabilities. Earlier this year, we welcomed Anil Chakravarthy to our Board as an independent director. Anil is an accomplished technology leader with deep experience in enterprise software, cloud transformation and AI-powered enterprise solutions, currently serving as President, Customer Experience Orchestration Business at Adobe. His track record of driving AI transformation at scale and his extensive experience in SaaS and data management are invaluable to FIS as we continue to advance financial technology innovation and deliver exceptional value to our clients. We would also like to thank Mark Benjamin who will be retiring from the Board as of the 2026 Annual Meeting for his many contributions and invaluable expertise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-3933825</wp:posOffset>
            </wp:positionV>
            <wp:extent cx="6810375" cy="8867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118" w:lineRule="exact"/>
        <w:rPr>
          <w:sz w:val="20"/>
          <w:szCs w:val="20"/>
          <w:color w:val="auto"/>
        </w:rPr>
      </w:pPr>
    </w:p>
    <w:p>
      <w:pPr>
        <w:ind w:right="159"/>
        <w:spacing w:after="0" w:line="269" w:lineRule="auto"/>
        <w:rPr>
          <w:sz w:val="20"/>
          <w:szCs w:val="20"/>
          <w:color w:val="auto"/>
        </w:rPr>
      </w:pPr>
      <w:r>
        <w:rPr>
          <w:rFonts w:ascii="Arial" w:cs="Arial" w:eastAsia="Arial" w:hAnsi="Arial"/>
          <w:sz w:val="16"/>
          <w:szCs w:val="16"/>
          <w:color w:val="auto"/>
        </w:rPr>
        <w:t>The Board and I are incredibly proud of FIS’ accomplishments and management’s strong execution this past year. Their efforts enabled us to enter 2026 with positive momentum as we execute on our strategy as a technology company at the forefront of financial services innovation. We are excited for the future as we continue to drive sustainable, profitable growth on a foundation of commercial and operational excellence, product leadership and strategic client partnerships.</w:t>
      </w:r>
    </w:p>
    <w:p>
      <w:pPr>
        <w:spacing w:after="0" w:line="129" w:lineRule="exact"/>
        <w:rPr>
          <w:sz w:val="20"/>
          <w:szCs w:val="20"/>
          <w:color w:val="auto"/>
        </w:rPr>
      </w:pPr>
    </w:p>
    <w:p>
      <w:pPr>
        <w:ind w:right="359"/>
        <w:spacing w:after="0" w:line="304" w:lineRule="auto"/>
        <w:rPr>
          <w:sz w:val="20"/>
          <w:szCs w:val="20"/>
          <w:color w:val="auto"/>
        </w:rPr>
      </w:pPr>
      <w:r>
        <w:rPr>
          <w:rFonts w:ascii="Arial" w:cs="Arial" w:eastAsia="Arial" w:hAnsi="Arial"/>
          <w:sz w:val="16"/>
          <w:szCs w:val="16"/>
          <w:color w:val="auto"/>
        </w:rPr>
        <w:t>Thank you for your continued support and investment in FIS and the tremendous team behind it.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431C5B"/>
        </w:rPr>
        <w:t>Jeffrey A. Goldstein</w:t>
      </w:r>
    </w:p>
    <w:p>
      <w:pPr>
        <w:spacing w:after="0" w:line="4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Chair of the Board of Directors</w:t>
      </w:r>
    </w:p>
    <w:p>
      <w:pPr>
        <w:spacing w:after="0" w:line="2210" w:lineRule="exact"/>
        <w:rPr>
          <w:sz w:val="20"/>
          <w:szCs w:val="20"/>
          <w:color w:val="auto"/>
        </w:rPr>
      </w:pPr>
    </w:p>
    <w:p>
      <w:pPr>
        <w:sectPr>
          <w:pgSz w:w="11900" w:h="16838" w:orient="portrait"/>
          <w:cols w:equalWidth="0" w:num="2">
            <w:col w:w="4340" w:space="320"/>
            <w:col w:w="4359"/>
          </w:cols>
          <w:pgMar w:left="1440" w:top="1176"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6960"/>
        <w:spacing w:after="0"/>
        <w:tabs>
          <w:tab w:leader="none" w:pos="87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1</w:t>
      </w:r>
    </w:p>
    <w:p>
      <w:pPr>
        <w:sectPr>
          <w:pgSz w:w="11900" w:h="16838" w:orient="portrait"/>
          <w:cols w:equalWidth="0" w:num="1">
            <w:col w:w="9019"/>
          </w:cols>
          <w:pgMar w:left="1440" w:top="1176" w:right="1440" w:bottom="1440" w:gutter="0" w:footer="0" w:header="0"/>
          <w:type w:val="continuous"/>
        </w:sectPr>
      </w:pPr>
    </w:p>
    <w:bookmarkStart w:id="4" w:name="page5"/>
    <w:bookmarkEnd w:id="4"/>
    <w:p>
      <w:pPr>
        <w:ind w:left="1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To Our Valued Shareholders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40" w:right="2859"/>
        <w:spacing w:after="0" w:line="287" w:lineRule="auto"/>
        <w:rPr>
          <w:sz w:val="20"/>
          <w:szCs w:val="20"/>
          <w:color w:val="auto"/>
        </w:rPr>
      </w:pPr>
      <w:r>
        <w:rPr>
          <w:rFonts w:ascii="Arial" w:cs="Arial" w:eastAsia="Arial" w:hAnsi="Arial"/>
          <w:sz w:val="54"/>
          <w:szCs w:val="54"/>
          <w:color w:val="431C5B"/>
        </w:rPr>
        <w:t>Notice of Annual Meeting of Shareholders</w:t>
      </w:r>
    </w:p>
    <w:p>
      <w:pPr>
        <w:sectPr>
          <w:pgSz w:w="11900" w:h="16838" w:orient="portrait"/>
          <w:cols w:equalWidth="0" w:num="1">
            <w:col w:w="9019"/>
          </w:cols>
          <w:pgMar w:left="1440" w:top="657" w:right="1440" w:bottom="1440" w:gutter="0" w:footer="0" w:header="0"/>
        </w:sectPr>
      </w:pPr>
    </w:p>
    <w:p>
      <w:pPr>
        <w:spacing w:after="0" w:line="3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431C5B"/>
        </w:rPr>
        <w:t>Items of Business</w:t>
      </w:r>
    </w:p>
    <w:p>
      <w:pPr>
        <w:ind w:left="660" w:hanging="458"/>
        <w:spacing w:after="0" w:line="182" w:lineRule="auto"/>
        <w:tabs>
          <w:tab w:leader="none" w:pos="660" w:val="left"/>
        </w:tabs>
        <w:numPr>
          <w:ilvl w:val="0"/>
          <w:numId w:val="6"/>
        </w:numPr>
        <w:rPr>
          <w:rFonts w:ascii="Arial" w:cs="Arial" w:eastAsia="Arial" w:hAnsi="Arial"/>
          <w:sz w:val="43"/>
          <w:szCs w:val="43"/>
          <w:color w:val="431C5B"/>
          <w:vertAlign w:val="subscript"/>
        </w:rPr>
      </w:pPr>
      <w:r>
        <w:rPr>
          <w:rFonts w:ascii="Arial" w:cs="Arial" w:eastAsia="Arial" w:hAnsi="Arial"/>
          <w:sz w:val="13"/>
          <w:szCs w:val="13"/>
          <w:b w:val="1"/>
          <w:bCs w:val="1"/>
          <w:color w:val="431C5B"/>
        </w:rPr>
        <w:t>Election of Directors</w:t>
      </w:r>
    </w:p>
    <w:p>
      <w:pPr>
        <w:spacing w:after="0" w:line="8" w:lineRule="exact"/>
        <w:rPr>
          <w:rFonts w:ascii="Arial" w:cs="Arial" w:eastAsia="Arial" w:hAnsi="Arial"/>
          <w:sz w:val="43"/>
          <w:szCs w:val="43"/>
          <w:color w:val="431C5B"/>
          <w:vertAlign w:val="subscript"/>
        </w:rPr>
      </w:pPr>
    </w:p>
    <w:p>
      <w:pPr>
        <w:ind w:left="660" w:right="320"/>
        <w:spacing w:after="0" w:line="272" w:lineRule="auto"/>
        <w:rPr>
          <w:rFonts w:ascii="Arial" w:cs="Arial" w:eastAsia="Arial" w:hAnsi="Arial"/>
          <w:sz w:val="43"/>
          <w:szCs w:val="43"/>
          <w:color w:val="431C5B"/>
          <w:vertAlign w:val="subscript"/>
        </w:rPr>
      </w:pPr>
      <w:r>
        <w:rPr>
          <w:rFonts w:ascii="Arial" w:cs="Arial" w:eastAsia="Arial" w:hAnsi="Arial"/>
          <w:sz w:val="14"/>
          <w:szCs w:val="14"/>
          <w:color w:val="auto"/>
        </w:rPr>
        <w:t>To elect the nine members of the Board of Directors named in the proxy statement to serve until the 2027</w:t>
      </w:r>
    </w:p>
    <w:p>
      <w:pPr>
        <w:ind w:left="660"/>
        <w:spacing w:after="0"/>
        <w:rPr>
          <w:sz w:val="20"/>
          <w:szCs w:val="20"/>
          <w:color w:val="auto"/>
        </w:rPr>
      </w:pPr>
      <w:r>
        <w:rPr>
          <w:rFonts w:ascii="Arial" w:cs="Arial" w:eastAsia="Arial" w:hAnsi="Arial"/>
          <w:sz w:val="14"/>
          <w:szCs w:val="14"/>
          <w:color w:val="auto"/>
        </w:rPr>
        <w:t>annual meeting of shareholders</w:t>
      </w:r>
    </w:p>
    <w:p>
      <w:pPr>
        <w:ind w:left="660" w:hanging="458"/>
        <w:spacing w:after="0" w:line="182" w:lineRule="auto"/>
        <w:tabs>
          <w:tab w:leader="none" w:pos="660" w:val="left"/>
        </w:tabs>
        <w:numPr>
          <w:ilvl w:val="0"/>
          <w:numId w:val="7"/>
        </w:numPr>
        <w:rPr>
          <w:rFonts w:ascii="Arial" w:cs="Arial" w:eastAsia="Arial" w:hAnsi="Arial"/>
          <w:sz w:val="44"/>
          <w:szCs w:val="44"/>
          <w:color w:val="431C5B"/>
          <w:vertAlign w:val="subscript"/>
        </w:rPr>
      </w:pPr>
      <w:r>
        <w:rPr>
          <w:rFonts w:ascii="Arial" w:cs="Arial" w:eastAsia="Arial" w:hAnsi="Arial"/>
          <w:sz w:val="13"/>
          <w:szCs w:val="13"/>
          <w:b w:val="1"/>
          <w:bCs w:val="1"/>
          <w:color w:val="431C5B"/>
        </w:rPr>
        <w:t>Advisory Vote on Executive Compensation</w:t>
      </w:r>
    </w:p>
    <w:p>
      <w:pPr>
        <w:spacing w:after="0" w:line="8" w:lineRule="exact"/>
        <w:rPr>
          <w:rFonts w:ascii="Arial" w:cs="Arial" w:eastAsia="Arial" w:hAnsi="Arial"/>
          <w:sz w:val="44"/>
          <w:szCs w:val="44"/>
          <w:color w:val="431C5B"/>
          <w:vertAlign w:val="subscript"/>
        </w:rPr>
      </w:pPr>
    </w:p>
    <w:p>
      <w:pPr>
        <w:jc w:val="both"/>
        <w:ind w:left="660" w:right="460"/>
        <w:spacing w:after="0" w:line="304" w:lineRule="auto"/>
        <w:rPr>
          <w:rFonts w:ascii="Arial" w:cs="Arial" w:eastAsia="Arial" w:hAnsi="Arial"/>
          <w:sz w:val="44"/>
          <w:szCs w:val="44"/>
          <w:color w:val="431C5B"/>
          <w:vertAlign w:val="subscript"/>
        </w:rPr>
      </w:pPr>
      <w:r>
        <w:rPr>
          <w:rFonts w:ascii="Arial" w:cs="Arial" w:eastAsia="Arial" w:hAnsi="Arial"/>
          <w:sz w:val="14"/>
          <w:szCs w:val="14"/>
          <w:color w:val="auto"/>
        </w:rPr>
        <w:t>To approve, on an advisory and non-binding basis, the compensation of our named executive officers</w:t>
      </w:r>
    </w:p>
    <w:p>
      <w:pPr>
        <w:spacing w:after="0" w:line="152" w:lineRule="exact"/>
        <w:rPr>
          <w:sz w:val="20"/>
          <w:szCs w:val="20"/>
          <w:color w:val="auto"/>
        </w:rPr>
      </w:pPr>
    </w:p>
    <w:tbl>
      <w:tblPr>
        <w:tblLayout w:type="fixed"/>
        <w:tblInd w:w="200" w:type="dxa"/>
        <w:tblCellMar>
          <w:top w:w="0" w:type="dxa"/>
          <w:left w:w="0" w:type="dxa"/>
          <w:bottom w:w="0" w:type="dxa"/>
          <w:right w:w="0" w:type="dxa"/>
        </w:tblCellMar>
      </w:tblPr>
      <w:tr>
        <w:trPr>
          <w:trHeight w:val="250"/>
        </w:trPr>
        <w:tc>
          <w:tcPr>
            <w:tcW w:w="380" w:type="dxa"/>
            <w:vAlign w:val="bottom"/>
            <w:vMerge w:val="restart"/>
          </w:tcPr>
          <w:p>
            <w:pPr>
              <w:jc w:val="right"/>
              <w:spacing w:after="0"/>
              <w:rPr>
                <w:sz w:val="20"/>
                <w:szCs w:val="20"/>
                <w:color w:val="auto"/>
              </w:rPr>
            </w:pPr>
            <w:r>
              <w:rPr>
                <w:rFonts w:ascii="Arial" w:cs="Arial" w:eastAsia="Arial" w:hAnsi="Arial"/>
                <w:sz w:val="54"/>
                <w:szCs w:val="54"/>
                <w:color w:val="431C5B"/>
                <w:w w:val="93"/>
              </w:rPr>
              <w:t>3</w:t>
            </w:r>
          </w:p>
        </w:tc>
        <w:tc>
          <w:tcPr>
            <w:tcW w:w="3760" w:type="dxa"/>
            <w:vAlign w:val="bottom"/>
          </w:tcPr>
          <w:p>
            <w:pPr>
              <w:ind w:left="80"/>
              <w:spacing w:after="0"/>
              <w:rPr>
                <w:sz w:val="20"/>
                <w:szCs w:val="20"/>
                <w:color w:val="auto"/>
              </w:rPr>
            </w:pPr>
            <w:r>
              <w:rPr>
                <w:rFonts w:ascii="Arial" w:cs="Arial" w:eastAsia="Arial" w:hAnsi="Arial"/>
                <w:sz w:val="14"/>
                <w:szCs w:val="14"/>
                <w:b w:val="1"/>
                <w:bCs w:val="1"/>
                <w:color w:val="431C5B"/>
              </w:rPr>
              <w:t>Ratification of Independent Registered</w:t>
            </w:r>
          </w:p>
        </w:tc>
        <w:tc>
          <w:tcPr>
            <w:tcW w:w="0" w:type="dxa"/>
            <w:vAlign w:val="bottom"/>
          </w:tcPr>
          <w:p>
            <w:pPr>
              <w:spacing w:after="0"/>
              <w:rPr>
                <w:sz w:val="1"/>
                <w:szCs w:val="1"/>
                <w:color w:val="auto"/>
              </w:rPr>
            </w:pPr>
          </w:p>
        </w:tc>
      </w:tr>
      <w:tr>
        <w:trPr>
          <w:trHeight w:val="189"/>
        </w:trPr>
        <w:tc>
          <w:tcPr>
            <w:tcW w:w="380" w:type="dxa"/>
            <w:vAlign w:val="bottom"/>
            <w:vMerge w:val="continue"/>
          </w:tcPr>
          <w:p>
            <w:pPr>
              <w:spacing w:after="0"/>
              <w:rPr>
                <w:sz w:val="16"/>
                <w:szCs w:val="16"/>
                <w:color w:val="auto"/>
              </w:rPr>
            </w:pPr>
          </w:p>
        </w:tc>
        <w:tc>
          <w:tcPr>
            <w:tcW w:w="3760" w:type="dxa"/>
            <w:vAlign w:val="bottom"/>
          </w:tcPr>
          <w:p>
            <w:pPr>
              <w:ind w:left="80"/>
              <w:spacing w:after="0"/>
              <w:rPr>
                <w:sz w:val="20"/>
                <w:szCs w:val="20"/>
                <w:color w:val="auto"/>
              </w:rPr>
            </w:pPr>
            <w:r>
              <w:rPr>
                <w:rFonts w:ascii="Arial" w:cs="Arial" w:eastAsia="Arial" w:hAnsi="Arial"/>
                <w:sz w:val="14"/>
                <w:szCs w:val="14"/>
                <w:b w:val="1"/>
                <w:bCs w:val="1"/>
                <w:color w:val="431C5B"/>
              </w:rPr>
              <w:t>Public Accounting Firm</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3760" w:type="dxa"/>
            <w:vAlign w:val="bottom"/>
          </w:tcPr>
          <w:p>
            <w:pPr>
              <w:ind w:left="80"/>
              <w:spacing w:after="0"/>
              <w:rPr>
                <w:sz w:val="20"/>
                <w:szCs w:val="20"/>
                <w:color w:val="auto"/>
              </w:rPr>
            </w:pPr>
            <w:r>
              <w:rPr>
                <w:rFonts w:ascii="Arial" w:cs="Arial" w:eastAsia="Arial" w:hAnsi="Arial"/>
                <w:sz w:val="14"/>
                <w:szCs w:val="14"/>
                <w:color w:val="auto"/>
              </w:rPr>
              <w:t>To ratify the appointment of KPMG LLP as the Company’s</w:t>
            </w:r>
          </w:p>
        </w:tc>
        <w:tc>
          <w:tcPr>
            <w:tcW w:w="0" w:type="dxa"/>
            <w:vAlign w:val="bottom"/>
          </w:tcPr>
          <w:p>
            <w:pPr>
              <w:spacing w:after="0"/>
              <w:rPr>
                <w:sz w:val="1"/>
                <w:szCs w:val="1"/>
                <w:color w:val="auto"/>
              </w:rPr>
            </w:pPr>
          </w:p>
        </w:tc>
      </w:tr>
    </w:tbl>
    <w:p>
      <w:pPr>
        <w:jc w:val="right"/>
        <w:ind w:right="200"/>
        <w:spacing w:after="0"/>
        <w:rPr>
          <w:sz w:val="20"/>
          <w:szCs w:val="20"/>
          <w:color w:val="auto"/>
        </w:rPr>
      </w:pPr>
      <w:r>
        <w:rPr>
          <w:rFonts w:ascii="Arial" w:cs="Arial" w:eastAsia="Arial" w:hAnsi="Arial"/>
          <w:sz w:val="14"/>
          <w:szCs w:val="14"/>
          <w:color w:val="auto"/>
        </w:rPr>
        <w:t>independent registered public accounting firm for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431C5B"/>
        </w:rPr>
        <w:t>“FOR”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each director</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nominee</w:t>
      </w: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431C5B"/>
        </w:rPr>
        <w:t>“FOR”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431C5B"/>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431C5B"/>
        </w:rPr>
        <w:t>DATE AND TIME</w:t>
      </w:r>
    </w:p>
    <w:p>
      <w:pPr>
        <w:spacing w:after="0" w:line="69" w:lineRule="exact"/>
        <w:rPr>
          <w:sz w:val="20"/>
          <w:szCs w:val="20"/>
          <w:color w:val="auto"/>
        </w:rPr>
      </w:pPr>
    </w:p>
    <w:p>
      <w:pPr>
        <w:ind w:right="739"/>
        <w:spacing w:after="0" w:line="325" w:lineRule="auto"/>
        <w:rPr>
          <w:sz w:val="20"/>
          <w:szCs w:val="20"/>
          <w:color w:val="auto"/>
        </w:rPr>
      </w:pPr>
      <w:r>
        <w:rPr>
          <w:rFonts w:ascii="Arial" w:cs="Arial" w:eastAsia="Arial" w:hAnsi="Arial"/>
          <w:sz w:val="14"/>
          <w:szCs w:val="14"/>
          <w:color w:val="auto"/>
        </w:rPr>
        <w:t>Wednesday, June 10, 2026 10:00 a.m., Eastern Time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431C5B"/>
          <w:highlight w:val="white"/>
        </w:rPr>
        <w:t>VIRTUAL ANNUAL</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431C5B"/>
          <w:highlight w:val="white"/>
        </w:rPr>
        <w:t>MEETING SITE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431C5B"/>
          <w:highlight w:val="white"/>
        </w:rPr>
        <w:t>www.virtualshareholdermeeting.</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431C5B"/>
          <w:highlight w:val="white"/>
        </w:rPr>
        <w:t>com/FIS2026</w:t>
      </w:r>
    </w:p>
    <w:p>
      <w:pPr>
        <w:spacing w:after="0" w:line="200" w:lineRule="exact"/>
        <w:rPr>
          <w:sz w:val="20"/>
          <w:szCs w:val="20"/>
          <w:color w:val="auto"/>
        </w:rPr>
      </w:pPr>
    </w:p>
    <w:p>
      <w:pPr>
        <w:sectPr>
          <w:pgSz w:w="11900" w:h="16838" w:orient="portrait"/>
          <w:cols w:equalWidth="0" w:num="3">
            <w:col w:w="4340" w:space="480"/>
            <w:col w:w="1000" w:space="720"/>
            <w:col w:w="2479"/>
          </w:cols>
          <w:pgMar w:left="1440" w:top="657" w:right="1440" w:bottom="1440" w:gutter="0" w:footer="0" w:header="0"/>
          <w:type w:val="continuous"/>
        </w:sectPr>
      </w:pPr>
    </w:p>
    <w:p>
      <w:pPr>
        <w:spacing w:after="0" w:line="77" w:lineRule="exact"/>
        <w:rPr>
          <w:sz w:val="20"/>
          <w:szCs w:val="20"/>
          <w:color w:val="auto"/>
        </w:rPr>
      </w:pPr>
    </w:p>
    <w:p>
      <w:pPr>
        <w:ind w:left="140" w:right="180"/>
        <w:spacing w:after="0" w:line="296" w:lineRule="auto"/>
        <w:rPr>
          <w:sz w:val="20"/>
          <w:szCs w:val="20"/>
          <w:color w:val="auto"/>
        </w:rPr>
      </w:pPr>
      <w:r>
        <w:rPr>
          <w:rFonts w:ascii="Arial" w:cs="Arial" w:eastAsia="Arial" w:hAnsi="Arial"/>
          <w:sz w:val="14"/>
          <w:szCs w:val="14"/>
          <w:color w:val="auto"/>
        </w:rPr>
        <w:t xml:space="preserve">Due to the </w:t>
      </w:r>
      <w:r>
        <w:rPr>
          <w:rFonts w:ascii="Arial" w:cs="Arial" w:eastAsia="Arial" w:hAnsi="Arial"/>
          <w:sz w:val="14"/>
          <w:szCs w:val="14"/>
          <w:color w:val="auto"/>
          <w:highlight w:val="white"/>
        </w:rPr>
        <w:t>greater access that it provides to our shareholders,</w:t>
      </w:r>
      <w:r>
        <w:rPr>
          <w:rFonts w:ascii="Arial" w:cs="Arial" w:eastAsia="Arial" w:hAnsi="Arial"/>
          <w:sz w:val="14"/>
          <w:szCs w:val="14"/>
          <w:color w:val="auto"/>
        </w:rPr>
        <w:t xml:space="preserve"> the Board of Directors has directed that the 2026 Annual Meeting be held as a “virtual meeting” via the internet. We have designed the format of the Annual Meeting to provide shareholders with the same ability to participate as they would have at an in-person meeting.</w:t>
      </w:r>
    </w:p>
    <w:p>
      <w:pPr>
        <w:spacing w:after="0" w:line="43" w:lineRule="exact"/>
        <w:rPr>
          <w:sz w:val="20"/>
          <w:szCs w:val="20"/>
          <w:color w:val="auto"/>
        </w:rPr>
      </w:pPr>
    </w:p>
    <w:p>
      <w:pPr>
        <w:jc w:val="both"/>
        <w:ind w:left="140" w:right="360"/>
        <w:spacing w:after="0" w:line="303" w:lineRule="auto"/>
        <w:rPr>
          <w:sz w:val="20"/>
          <w:szCs w:val="20"/>
          <w:color w:val="auto"/>
        </w:rPr>
      </w:pPr>
      <w:r>
        <w:rPr>
          <w:rFonts w:ascii="Arial" w:cs="Arial" w:eastAsia="Arial" w:hAnsi="Arial"/>
          <w:sz w:val="14"/>
          <w:szCs w:val="14"/>
          <w:color w:val="auto"/>
        </w:rPr>
        <w:t>The Board of Directors has set April 13, 2026 as the record date for the meeting. This means that owners of Fidelity National Information Services, Inc. common stock at the close of business on that date are entitled to:</w:t>
      </w:r>
    </w:p>
    <w:p>
      <w:pPr>
        <w:spacing w:after="0" w:line="52" w:lineRule="exact"/>
        <w:rPr>
          <w:sz w:val="20"/>
          <w:szCs w:val="20"/>
          <w:color w:val="auto"/>
        </w:rPr>
      </w:pPr>
    </w:p>
    <w:p>
      <w:pPr>
        <w:ind w:left="320" w:hanging="190"/>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receive notice of the meeting; and</w:t>
      </w:r>
    </w:p>
    <w:p>
      <w:pPr>
        <w:spacing w:after="0" w:line="55" w:lineRule="exact"/>
        <w:rPr>
          <w:rFonts w:ascii="Arial" w:cs="Arial" w:eastAsia="Arial" w:hAnsi="Arial"/>
          <w:sz w:val="14"/>
          <w:szCs w:val="14"/>
          <w:color w:val="auto"/>
        </w:rPr>
      </w:pPr>
    </w:p>
    <w:p>
      <w:pPr>
        <w:ind w:left="320" w:hanging="190"/>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vote at the meeting and any adjournments or postponements of the meeting.</w:t>
      </w:r>
    </w:p>
    <w:p>
      <w:pPr>
        <w:spacing w:after="0" w:line="96" w:lineRule="exact"/>
        <w:rPr>
          <w:sz w:val="20"/>
          <w:szCs w:val="20"/>
          <w:color w:val="auto"/>
        </w:rPr>
      </w:pPr>
    </w:p>
    <w:p>
      <w:pPr>
        <w:jc w:val="both"/>
        <w:ind w:left="140" w:right="200"/>
        <w:spacing w:after="0" w:line="303" w:lineRule="auto"/>
        <w:rPr>
          <w:sz w:val="20"/>
          <w:szCs w:val="20"/>
          <w:color w:val="auto"/>
        </w:rPr>
      </w:pPr>
      <w:r>
        <w:rPr>
          <w:rFonts w:ascii="Arial" w:cs="Arial" w:eastAsia="Arial" w:hAnsi="Arial"/>
          <w:sz w:val="14"/>
          <w:szCs w:val="14"/>
          <w:color w:val="auto"/>
        </w:rPr>
        <w:t>All shareholders are cordially invited to attend the virtual annual meeting. Whether or not you plan to attend the annual meeting, please read these proxy materials and cast your vote on the matters that will be presented at the meeting.</w:t>
      </w:r>
    </w:p>
    <w:p>
      <w:pPr>
        <w:spacing w:after="0" w:line="52" w:lineRule="exact"/>
        <w:rPr>
          <w:sz w:val="20"/>
          <w:szCs w:val="20"/>
          <w:color w:val="auto"/>
        </w:rPr>
      </w:pPr>
    </w:p>
    <w:p>
      <w:pPr>
        <w:ind w:left="140"/>
        <w:spacing w:after="0" w:line="293" w:lineRule="auto"/>
        <w:rPr>
          <w:sz w:val="20"/>
          <w:szCs w:val="20"/>
          <w:color w:val="auto"/>
        </w:rPr>
      </w:pPr>
      <w:r>
        <w:rPr>
          <w:rFonts w:ascii="Arial" w:cs="Arial" w:eastAsia="Arial" w:hAnsi="Arial"/>
          <w:sz w:val="14"/>
          <w:szCs w:val="14"/>
          <w:color w:val="auto"/>
        </w:rPr>
        <w:t>You may vote your shares through the internet, by telephone, by mailing the enclosed proxy card or by attending the virtual meeting. Voting instructions are described under the question “How do I vote?” on page 98 of the proxy statement.</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Sincerely,</w:t>
      </w:r>
    </w:p>
    <w:p>
      <w:pPr>
        <w:spacing w:after="0" w:line="200" w:lineRule="exact"/>
        <w:rPr>
          <w:sz w:val="20"/>
          <w:szCs w:val="20"/>
          <w:color w:val="auto"/>
        </w:rPr>
      </w:pPr>
    </w:p>
    <w:p>
      <w:pPr>
        <w:spacing w:after="0" w:line="28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431C5B"/>
        </w:rPr>
        <w:t>Caroline Tsai</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Corporate Secretary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431C5B"/>
        </w:rPr>
        <w:t>How to Vote by Proxy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431C5B"/>
        </w:rPr>
        <w:t>INTERNET</w:t>
      </w:r>
    </w:p>
    <w:p>
      <w:pPr>
        <w:spacing w:after="0" w:line="82" w:lineRule="exact"/>
        <w:rPr>
          <w:sz w:val="20"/>
          <w:szCs w:val="20"/>
          <w:color w:val="auto"/>
        </w:rPr>
      </w:pPr>
    </w:p>
    <w:p>
      <w:pPr>
        <w:ind w:right="219"/>
        <w:spacing w:after="0" w:line="303" w:lineRule="auto"/>
        <w:rPr>
          <w:sz w:val="20"/>
          <w:szCs w:val="20"/>
          <w:color w:val="auto"/>
        </w:rPr>
      </w:pPr>
      <w:r>
        <w:rPr>
          <w:rFonts w:ascii="Arial" w:cs="Arial" w:eastAsia="Arial" w:hAnsi="Arial"/>
          <w:sz w:val="14"/>
          <w:szCs w:val="14"/>
          <w:color w:val="auto"/>
        </w:rPr>
        <w:t>using a unique password printed on your proxy card and following the instructions on the proxy card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431C5B"/>
        </w:rPr>
        <w:t>MAIL</w:t>
      </w:r>
    </w:p>
    <w:p>
      <w:pPr>
        <w:spacing w:after="0" w:line="96" w:lineRule="exact"/>
        <w:rPr>
          <w:sz w:val="20"/>
          <w:szCs w:val="20"/>
          <w:color w:val="auto"/>
        </w:rPr>
      </w:pPr>
    </w:p>
    <w:p>
      <w:pPr>
        <w:ind w:right="299"/>
        <w:spacing w:after="0" w:line="325" w:lineRule="auto"/>
        <w:rPr>
          <w:sz w:val="20"/>
          <w:szCs w:val="20"/>
          <w:color w:val="auto"/>
        </w:rPr>
      </w:pPr>
      <w:r>
        <w:rPr>
          <w:rFonts w:ascii="Arial" w:cs="Arial" w:eastAsia="Arial" w:hAnsi="Arial"/>
          <w:sz w:val="14"/>
          <w:szCs w:val="14"/>
          <w:color w:val="auto"/>
        </w:rPr>
        <w:t>using the enclosed proxy card and return envelope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431C5B"/>
        </w:rPr>
        <w:t>TELEPHONE</w:t>
      </w:r>
    </w:p>
    <w:p>
      <w:pPr>
        <w:spacing w:after="0" w:line="96" w:lineRule="exact"/>
        <w:rPr>
          <w:sz w:val="20"/>
          <w:szCs w:val="20"/>
          <w:color w:val="auto"/>
        </w:rPr>
      </w:pPr>
    </w:p>
    <w:p>
      <w:pPr>
        <w:jc w:val="both"/>
        <w:ind w:right="219"/>
        <w:spacing w:after="0" w:line="293" w:lineRule="auto"/>
        <w:rPr>
          <w:sz w:val="20"/>
          <w:szCs w:val="20"/>
          <w:color w:val="auto"/>
        </w:rPr>
      </w:pPr>
      <w:r>
        <w:rPr>
          <w:rFonts w:ascii="Arial" w:cs="Arial" w:eastAsia="Arial" w:hAnsi="Arial"/>
          <w:sz w:val="14"/>
          <w:szCs w:val="14"/>
          <w:color w:val="auto"/>
        </w:rPr>
        <w:t>using the telephone number printed on the proxy card and following the instructions on the proxy card</w:t>
      </w:r>
    </w:p>
    <w:p>
      <w:pPr>
        <w:spacing w:after="0" w:line="31" w:lineRule="exact"/>
        <w:rPr>
          <w:sz w:val="20"/>
          <w:szCs w:val="20"/>
          <w:color w:val="auto"/>
        </w:rPr>
      </w:pPr>
    </w:p>
    <w:p>
      <w:pPr>
        <w:ind w:right="219"/>
        <w:spacing w:after="0" w:line="296" w:lineRule="auto"/>
        <w:rPr>
          <w:sz w:val="20"/>
          <w:szCs w:val="20"/>
          <w:color w:val="auto"/>
        </w:rPr>
      </w:pPr>
      <w:r>
        <w:rPr>
          <w:rFonts w:ascii="Arial" w:cs="Arial" w:eastAsia="Arial" w:hAnsi="Arial"/>
          <w:sz w:val="14"/>
          <w:szCs w:val="14"/>
          <w:color w:val="auto"/>
        </w:rPr>
        <w:t>Even if you expect to join the virtual annual meeting, please vote by proxy to ensure that your shares will be represented.</w:t>
      </w:r>
    </w:p>
    <w:p>
      <w:pPr>
        <w:spacing w:after="0" w:line="893" w:lineRule="exact"/>
        <w:rPr>
          <w:sz w:val="20"/>
          <w:szCs w:val="20"/>
          <w:color w:val="auto"/>
        </w:rPr>
      </w:pPr>
    </w:p>
    <w:p>
      <w:pPr>
        <w:sectPr>
          <w:pgSz w:w="11900" w:h="16838" w:orient="portrait"/>
          <w:cols w:equalWidth="0" w:num="2">
            <w:col w:w="5960" w:space="580"/>
            <w:col w:w="2479"/>
          </w:cols>
          <w:pgMar w:left="1440" w:top="657" w:right="1440" w:bottom="1440" w:gutter="0" w:footer="0" w:header="0"/>
          <w:type w:val="continuous"/>
        </w:sectPr>
      </w:pPr>
    </w:p>
    <w:p>
      <w:pPr>
        <w:ind w:left="320" w:right="739"/>
        <w:spacing w:after="0" w:line="293" w:lineRule="auto"/>
        <w:rPr>
          <w:sz w:val="20"/>
          <w:szCs w:val="20"/>
          <w:color w:val="auto"/>
        </w:rPr>
      </w:pPr>
      <w:r>
        <w:rPr>
          <w:rFonts w:ascii="Arial" w:cs="Arial" w:eastAsia="Arial" w:hAnsi="Arial"/>
          <w:sz w:val="14"/>
          <w:szCs w:val="14"/>
          <w:b w:val="1"/>
          <w:bCs w:val="1"/>
          <w:color w:val="auto"/>
        </w:rPr>
        <w:t xml:space="preserve">IMPORTANT NOTICE REGARDING THE AVAILABILITY OF PROXY MATERIALS FOR THE ANNUAL MEETING OF SHAREHOLDERS TO BE HELD ON JUNE 10, 2026: </w:t>
      </w:r>
      <w:r>
        <w:rPr>
          <w:rFonts w:ascii="Arial" w:cs="Arial" w:eastAsia="Arial" w:hAnsi="Arial"/>
          <w:sz w:val="14"/>
          <w:szCs w:val="14"/>
          <w:color w:val="auto"/>
        </w:rPr>
        <w:t>The Notice of Annual Meeting, Proxy Statement and Annual Report on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Form 10-K for the year ended December 31, 2025 are available at </w:t>
      </w:r>
      <w:r>
        <w:rPr>
          <w:rFonts w:ascii="Arial" w:cs="Arial" w:eastAsia="Arial" w:hAnsi="Arial"/>
          <w:sz w:val="16"/>
          <w:szCs w:val="16"/>
          <w:b w:val="1"/>
          <w:bCs w:val="1"/>
          <w:color w:val="431C5B"/>
        </w:rPr>
        <w:t>www.proxyvote.com</w:t>
      </w:r>
    </w:p>
    <w:p>
      <w:pPr>
        <w:spacing w:after="0" w:line="165" w:lineRule="exact"/>
        <w:rPr>
          <w:sz w:val="20"/>
          <w:szCs w:val="20"/>
          <w:color w:val="auto"/>
        </w:rPr>
      </w:pPr>
    </w:p>
    <w:p>
      <w:pPr>
        <w:ind w:left="140" w:right="659"/>
        <w:spacing w:after="0" w:line="299" w:lineRule="auto"/>
        <w:rPr>
          <w:sz w:val="20"/>
          <w:szCs w:val="20"/>
          <w:color w:val="auto"/>
        </w:rPr>
      </w:pPr>
      <w:r>
        <w:rPr>
          <w:rFonts w:ascii="Arial" w:cs="Arial" w:eastAsia="Arial" w:hAnsi="Arial"/>
          <w:sz w:val="14"/>
          <w:szCs w:val="14"/>
          <w:color w:val="auto"/>
        </w:rPr>
        <w:t xml:space="preserve">The enclosed proxy is solicited by the Board of Directors (the “Board”) of Fidelity National Information Services, Inc., a Georgia corporation (the “Company” or “FIS”), for use at the Annual Meeting of Shareholders to be held on June 10, 2026, at 10:00 a.m. Eastern Time, or at any adjournment thereof, for the purposes set forth herein and in the accompanying Notice of Annual Meeting of Shareholders. The meeting will be held virtually at </w:t>
      </w:r>
      <w:r>
        <w:rPr>
          <w:rFonts w:ascii="Arial" w:cs="Arial" w:eastAsia="Arial" w:hAnsi="Arial"/>
          <w:sz w:val="14"/>
          <w:szCs w:val="14"/>
          <w:b w:val="1"/>
          <w:bCs w:val="1"/>
          <w:color w:val="431C5B"/>
          <w:highlight w:val="white"/>
        </w:rPr>
        <w:t>www.virtualshareholdermeeting.com/FIS2026.</w:t>
      </w:r>
    </w:p>
    <w:p>
      <w:pPr>
        <w:spacing w:after="0" w:line="35" w:lineRule="exact"/>
        <w:rPr>
          <w:sz w:val="20"/>
          <w:szCs w:val="20"/>
          <w:color w:val="auto"/>
        </w:rPr>
      </w:pPr>
    </w:p>
    <w:p>
      <w:pPr>
        <w:ind w:left="140" w:right="519"/>
        <w:spacing w:after="0" w:line="325" w:lineRule="auto"/>
        <w:rPr>
          <w:sz w:val="20"/>
          <w:szCs w:val="20"/>
          <w:color w:val="auto"/>
        </w:rPr>
      </w:pPr>
      <w:r>
        <w:rPr>
          <w:rFonts w:ascii="Arial" w:cs="Arial" w:eastAsia="Arial" w:hAnsi="Arial"/>
          <w:sz w:val="14"/>
          <w:szCs w:val="14"/>
          <w:color w:val="auto"/>
        </w:rPr>
        <w:t>It is anticipated that such proxy, together with this proxy statement, will be first mailed on or about April 28, 2026, to all shareholders entitled to vote at the meeting.</w:t>
      </w:r>
    </w:p>
    <w:p>
      <w:pPr>
        <w:sectPr>
          <w:pgSz w:w="11900" w:h="16838" w:orient="portrait"/>
          <w:cols w:equalWidth="0" w:num="1">
            <w:col w:w="9019"/>
          </w:cols>
          <w:pgMar w:left="1440" w:top="657"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620" w:hanging="429"/>
        <w:spacing w:after="0"/>
        <w:tabs>
          <w:tab w:leader="none" w:pos="620" w:val="left"/>
        </w:tabs>
        <w:numPr>
          <w:ilvl w:val="0"/>
          <w:numId w:val="9"/>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5" w:name="page6"/>
    <w:bookmarkEnd w:id="5"/>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54"/>
          <w:szCs w:val="54"/>
          <w:color w:val="431C5B"/>
        </w:rPr>
        <w:t>Table of Contents</w:t>
      </w:r>
    </w:p>
    <w:p>
      <w:pPr>
        <w:spacing w:after="0" w:line="200" w:lineRule="exact"/>
        <w:rPr>
          <w:sz w:val="20"/>
          <w:szCs w:val="20"/>
          <w:color w:val="auto"/>
        </w:rPr>
      </w:pPr>
    </w:p>
    <w:p>
      <w:pPr>
        <w:spacing w:after="0" w:line="291" w:lineRule="exact"/>
        <w:rPr>
          <w:sz w:val="20"/>
          <w:szCs w:val="20"/>
          <w:color w:val="auto"/>
        </w:rPr>
      </w:pPr>
    </w:p>
    <w:p>
      <w:pPr>
        <w:ind w:left="200"/>
        <w:spacing w:after="0"/>
        <w:tabs>
          <w:tab w:leader="none" w:pos="8520" w:val="left"/>
        </w:tabs>
        <w:rPr>
          <w:sz w:val="20"/>
          <w:szCs w:val="20"/>
          <w:color w:val="auto"/>
        </w:rPr>
      </w:pPr>
      <w:r>
        <w:rPr>
          <w:rFonts w:ascii="Arial" w:cs="Arial" w:eastAsia="Arial" w:hAnsi="Arial"/>
          <w:sz w:val="14"/>
          <w:szCs w:val="14"/>
          <w:b w:val="1"/>
          <w:bCs w:val="1"/>
          <w:color w:val="431C5B"/>
        </w:rPr>
        <w:t xml:space="preserve">FIS at a Glance </w:t>
      </w:r>
      <w:r>
        <w:rPr>
          <w:rFonts w:ascii="Times New Roman" w:cs="Times New Roman" w:eastAsia="Times New Roman" w:hAnsi="Times New Roman"/>
          <w:sz w:val="14"/>
          <w:szCs w:val="14"/>
          <w:b w:val="1"/>
          <w:bCs w:val="1"/>
          <w:color w:val="B4B4B4"/>
        </w:rPr>
        <w:t>. . . . . . . . . . . . . . . . . . . . . . . . . . . . . . . . . . . . . . . . . . . . . . . . . . . . . . . . . . . . . . . . . . . . . . . . . . . . . . . . . . . . . . . . . . . . . . . . .</w:t>
      </w:r>
      <w:r>
        <w:rPr>
          <w:sz w:val="20"/>
          <w:szCs w:val="20"/>
          <w:color w:val="auto"/>
        </w:rPr>
        <w:tab/>
      </w:r>
      <w:r>
        <w:rPr>
          <w:rFonts w:ascii="Arial" w:cs="Arial" w:eastAsia="Arial" w:hAnsi="Arial"/>
          <w:sz w:val="14"/>
          <w:szCs w:val="14"/>
          <w:b w:val="1"/>
          <w:bCs w:val="1"/>
          <w:color w:val="431C5B"/>
        </w:rPr>
        <w:t>4</w:t>
      </w:r>
    </w:p>
    <w:p>
      <w:pPr>
        <w:spacing w:after="0" w:line="18" w:lineRule="exact"/>
        <w:rPr>
          <w:sz w:val="20"/>
          <w:szCs w:val="20"/>
          <w:color w:val="auto"/>
        </w:rPr>
      </w:pPr>
    </w:p>
    <w:p>
      <w:pPr>
        <w:ind w:left="200"/>
        <w:spacing w:after="0"/>
        <w:tabs>
          <w:tab w:leader="none" w:pos="8520" w:val="left"/>
        </w:tabs>
        <w:rPr>
          <w:sz w:val="20"/>
          <w:szCs w:val="20"/>
          <w:color w:val="auto"/>
        </w:rPr>
      </w:pPr>
      <w:r>
        <w:rPr>
          <w:rFonts w:ascii="Arial" w:cs="Arial" w:eastAsia="Arial" w:hAnsi="Arial"/>
          <w:sz w:val="14"/>
          <w:szCs w:val="14"/>
          <w:b w:val="1"/>
          <w:bCs w:val="1"/>
          <w:color w:val="431C5B"/>
        </w:rPr>
        <w:t xml:space="preserve">Voting Roadmap </w:t>
      </w:r>
      <w:r>
        <w:rPr>
          <w:rFonts w:ascii="Times New Roman" w:cs="Times New Roman" w:eastAsia="Times New Roman" w:hAnsi="Times New Roman"/>
          <w:sz w:val="14"/>
          <w:szCs w:val="14"/>
          <w:b w:val="1"/>
          <w:bCs w:val="1"/>
          <w:color w:val="B4B4B4"/>
        </w:rPr>
        <w:t>. . . . . . . . . . . . . . . . . . . . . . . . . . . . . . . . . . . . . . . . . . . . . . . . . . . . . . . . . . . . . . . . . . . . . . . . . . . . . . . . . . . . . . . . . . . . . . . .</w:t>
      </w:r>
      <w:r>
        <w:rPr>
          <w:sz w:val="20"/>
          <w:szCs w:val="20"/>
          <w:color w:val="auto"/>
        </w:rPr>
        <w:tab/>
      </w:r>
      <w:r>
        <w:rPr>
          <w:rFonts w:ascii="Arial" w:cs="Arial" w:eastAsia="Arial" w:hAnsi="Arial"/>
          <w:sz w:val="14"/>
          <w:szCs w:val="14"/>
          <w:b w:val="1"/>
          <w:bCs w:val="1"/>
          <w:color w:val="431C5B"/>
        </w:rPr>
        <w:t>7</w:t>
      </w:r>
    </w:p>
    <w:p>
      <w:pPr>
        <w:spacing w:after="0" w:line="25" w:lineRule="exact"/>
        <w:rPr>
          <w:sz w:val="20"/>
          <w:szCs w:val="20"/>
          <w:color w:val="auto"/>
        </w:rPr>
      </w:pPr>
    </w:p>
    <w:p>
      <w:pPr>
        <w:ind w:left="200"/>
        <w:spacing w:after="0"/>
        <w:tabs>
          <w:tab w:leader="none" w:pos="8520" w:val="left"/>
        </w:tabs>
        <w:rPr>
          <w:sz w:val="20"/>
          <w:szCs w:val="20"/>
          <w:color w:val="auto"/>
        </w:rPr>
      </w:pPr>
      <w:r>
        <w:rPr>
          <w:rFonts w:ascii="Arial" w:cs="Arial" w:eastAsia="Arial" w:hAnsi="Arial"/>
          <w:sz w:val="14"/>
          <w:szCs w:val="14"/>
          <w:b w:val="1"/>
          <w:bCs w:val="1"/>
          <w:color w:val="431C5B"/>
        </w:rPr>
        <w:t xml:space="preserve">Proxy Summary </w:t>
      </w:r>
      <w:r>
        <w:rPr>
          <w:rFonts w:ascii="Times New Roman" w:cs="Times New Roman" w:eastAsia="Times New Roman" w:hAnsi="Times New Roman"/>
          <w:sz w:val="14"/>
          <w:szCs w:val="14"/>
          <w:b w:val="1"/>
          <w:bCs w:val="1"/>
          <w:color w:val="B4B4B4"/>
        </w:rPr>
        <w:t>. . . . . . . . . . . . . . . . . . . . . . . . . . . . . . . . . . . . . . . . . . . . . . . . . . . . . . . . . . . . . . . . . . . . . . . . . . . . . . . . . . . . . . . . . . . . . . . .</w:t>
      </w:r>
      <w:r>
        <w:rPr>
          <w:sz w:val="20"/>
          <w:szCs w:val="20"/>
          <w:color w:val="auto"/>
        </w:rPr>
        <w:tab/>
      </w:r>
      <w:r>
        <w:rPr>
          <w:rFonts w:ascii="Arial" w:cs="Arial" w:eastAsia="Arial" w:hAnsi="Arial"/>
          <w:sz w:val="14"/>
          <w:szCs w:val="14"/>
          <w:b w:val="1"/>
          <w:bCs w:val="1"/>
          <w:color w:val="431C5B"/>
        </w:rPr>
        <w:t>8</w:t>
      </w:r>
    </w:p>
    <w:p>
      <w:pPr>
        <w:spacing w:after="0" w:line="283" w:lineRule="exact"/>
        <w:rPr>
          <w:sz w:val="20"/>
          <w:szCs w:val="20"/>
          <w:color w:val="auto"/>
        </w:rPr>
      </w:pPr>
    </w:p>
    <w:p>
      <w:pPr>
        <w:ind w:left="660"/>
        <w:spacing w:after="0"/>
        <w:tabs>
          <w:tab w:leader="none" w:pos="8440" w:val="left"/>
        </w:tabs>
        <w:rPr>
          <w:sz w:val="20"/>
          <w:szCs w:val="20"/>
          <w:color w:val="auto"/>
        </w:rPr>
      </w:pPr>
      <w:r>
        <w:rPr>
          <w:rFonts w:ascii="Arial" w:cs="Arial" w:eastAsia="Arial" w:hAnsi="Arial"/>
          <w:sz w:val="14"/>
          <w:szCs w:val="14"/>
          <w:b w:val="1"/>
          <w:bCs w:val="1"/>
          <w:color w:val="FFFFFF"/>
        </w:rPr>
        <w:t>PROPOSAL 1 Election of Directors</w:t>
      </w:r>
      <w:r>
        <w:rPr>
          <w:sz w:val="20"/>
          <w:szCs w:val="20"/>
          <w:color w:val="auto"/>
        </w:rPr>
        <w:tab/>
      </w:r>
      <w:r>
        <w:rPr>
          <w:rFonts w:ascii="Arial" w:cs="Arial" w:eastAsia="Arial" w:hAnsi="Arial"/>
          <w:sz w:val="14"/>
          <w:szCs w:val="14"/>
          <w:b w:val="1"/>
          <w:bCs w:val="1"/>
          <w:color w:val="auto"/>
        </w:rPr>
        <w:t>17</w:t>
      </w:r>
    </w:p>
    <w:p>
      <w:pPr>
        <w:spacing w:after="0" w:line="217"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Nominees for Election as Director </w:t>
      </w:r>
      <w:r>
        <w:rPr>
          <w:rFonts w:ascii="Times New Roman" w:cs="Times New Roman" w:eastAsia="Times New Roman" w:hAnsi="Times New Roman"/>
          <w:sz w:val="14"/>
          <w:szCs w:val="14"/>
          <w:color w:val="B4B4B4"/>
        </w:rPr>
        <w:t>. . . . . . . . . . . . . . . . . . . . . . . . . . . . . . . . . . . . . . . . . . . . . . . . . . . . . . . . . . . . . . . . . . . . . . . . . . . . . . . . . .</w:t>
      </w:r>
      <w:r>
        <w:rPr>
          <w:rFonts w:ascii="Arial" w:cs="Arial" w:eastAsia="Arial" w:hAnsi="Arial"/>
          <w:sz w:val="14"/>
          <w:szCs w:val="14"/>
          <w:color w:val="auto"/>
        </w:rPr>
        <w:tab/>
        <w:t>19</w:t>
      </w:r>
    </w:p>
    <w:p>
      <w:pPr>
        <w:spacing w:after="0" w:line="30"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Board Oversight </w:t>
      </w:r>
      <w:r>
        <w:rPr>
          <w:rFonts w:ascii="Times New Roman" w:cs="Times New Roman" w:eastAsia="Times New Roman" w:hAnsi="Times New Roman"/>
          <w:sz w:val="14"/>
          <w:szCs w:val="14"/>
          <w:color w:val="B4B4B4"/>
        </w:rPr>
        <w:t>. . . . . . . . . . . . . . . . . . . . . . . . . . . . . . . . . . . . . . . . . . . . . . . . . . . . . . . . . . . . . . . . . . . . . . . . . . . . . . . . . . . . . . . . . . . . . . . . .</w:t>
      </w:r>
      <w:r>
        <w:rPr>
          <w:rFonts w:ascii="Arial" w:cs="Arial" w:eastAsia="Arial" w:hAnsi="Arial"/>
          <w:sz w:val="14"/>
          <w:szCs w:val="14"/>
          <w:color w:val="auto"/>
        </w:rPr>
        <w:tab/>
        <w:t>28</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Our 2026 Shareholder Engagement Program </w:t>
      </w:r>
      <w:r>
        <w:rPr>
          <w:rFonts w:ascii="Times New Roman" w:cs="Times New Roman" w:eastAsia="Times New Roman" w:hAnsi="Times New Roman"/>
          <w:sz w:val="14"/>
          <w:szCs w:val="14"/>
          <w:color w:val="B4B4B4"/>
        </w:rPr>
        <w:t>. . . . . . . . . . . . . . . . . . . . . . . . . . . . . . . . . . . . . . . . . . . . . . . . . . . . . . . . . . . . . . . . . . . . . . . .</w:t>
      </w:r>
      <w:r>
        <w:rPr>
          <w:rFonts w:ascii="Arial" w:cs="Arial" w:eastAsia="Arial" w:hAnsi="Arial"/>
          <w:sz w:val="14"/>
          <w:szCs w:val="14"/>
          <w:color w:val="auto"/>
        </w:rPr>
        <w:tab/>
        <w:t>35</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Contacting the Board </w:t>
      </w:r>
      <w:r>
        <w:rPr>
          <w:rFonts w:ascii="Times New Roman" w:cs="Times New Roman" w:eastAsia="Times New Roman" w:hAnsi="Times New Roman"/>
          <w:sz w:val="14"/>
          <w:szCs w:val="14"/>
          <w:color w:val="B4B4B4"/>
        </w:rPr>
        <w:t>. . . . . . . . . . . . . . . . . . . . . . . . . . . . . . . . . . . . . . . . . . . . . . . . . . . . . . . . . . . . . . . . . . . . . . . . . . . . . . . . . . . . . . . . . . . . .</w:t>
      </w:r>
      <w:r>
        <w:rPr>
          <w:rFonts w:ascii="Arial" w:cs="Arial" w:eastAsia="Arial" w:hAnsi="Arial"/>
          <w:sz w:val="14"/>
          <w:szCs w:val="14"/>
          <w:color w:val="auto"/>
        </w:rPr>
        <w:tab/>
        <w:t>35</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Board Leadership Structure </w:t>
      </w:r>
      <w:r>
        <w:rPr>
          <w:rFonts w:ascii="Times New Roman" w:cs="Times New Roman" w:eastAsia="Times New Roman" w:hAnsi="Times New Roman"/>
          <w:sz w:val="14"/>
          <w:szCs w:val="14"/>
          <w:color w:val="B4B4B4"/>
        </w:rPr>
        <w:t>. . . . . . . . . . . . . . . . . . . . . . . . . . . . . . . . . . . . . . . . . . . . . . . . . . . . . . . . . . . . . . . . . . . . . . . . . . . . . . . . . . . . . . .</w:t>
      </w:r>
      <w:r>
        <w:rPr>
          <w:rFonts w:ascii="Arial" w:cs="Arial" w:eastAsia="Arial" w:hAnsi="Arial"/>
          <w:sz w:val="14"/>
          <w:szCs w:val="14"/>
          <w:color w:val="auto"/>
        </w:rPr>
        <w:tab/>
        <w:t>35</w:t>
      </w:r>
    </w:p>
    <w:p>
      <w:pPr>
        <w:spacing w:after="0" w:line="25"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Director Independence </w:t>
      </w:r>
      <w:r>
        <w:rPr>
          <w:rFonts w:ascii="Times New Roman" w:cs="Times New Roman" w:eastAsia="Times New Roman" w:hAnsi="Times New Roman"/>
          <w:sz w:val="14"/>
          <w:szCs w:val="14"/>
          <w:color w:val="B4B4B4"/>
        </w:rPr>
        <w:t>. . . . . . . . . . . . . . . . . . . . . . . . . . . . . . . . . . . . . . . . . . . . . . . . . . . . . . . . . . . . . . . . . . . . . . . . . . . . . . . . . . . . . . . . . . .</w:t>
      </w:r>
      <w:r>
        <w:rPr>
          <w:rFonts w:ascii="Arial" w:cs="Arial" w:eastAsia="Arial" w:hAnsi="Arial"/>
          <w:sz w:val="14"/>
          <w:szCs w:val="14"/>
          <w:color w:val="auto"/>
        </w:rPr>
        <w:tab/>
        <w:t>36</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Committees of the Board </w:t>
      </w:r>
      <w:r>
        <w:rPr>
          <w:rFonts w:ascii="Times New Roman" w:cs="Times New Roman" w:eastAsia="Times New Roman" w:hAnsi="Times New Roman"/>
          <w:sz w:val="14"/>
          <w:szCs w:val="14"/>
          <w:color w:val="B4B4B4"/>
        </w:rPr>
        <w:t>. . . . . . . . . . . . . . . . . . . . . . . . . . . . . . . . . . . . . . . . . . . . . . . . . . . . . . . . . . . . . . . . . . . . . . . . . . . . . . . . . . . . . . . . .</w:t>
      </w:r>
      <w:r>
        <w:rPr>
          <w:rFonts w:ascii="Arial" w:cs="Arial" w:eastAsia="Arial" w:hAnsi="Arial"/>
          <w:sz w:val="14"/>
          <w:szCs w:val="14"/>
          <w:color w:val="auto"/>
        </w:rPr>
        <w:tab/>
        <w:t>36</w:t>
      </w:r>
    </w:p>
    <w:p>
      <w:pPr>
        <w:spacing w:after="0" w:line="2"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Director Compensation </w:t>
      </w:r>
      <w:r>
        <w:rPr>
          <w:rFonts w:ascii="Times New Roman" w:cs="Times New Roman" w:eastAsia="Times New Roman" w:hAnsi="Times New Roman"/>
          <w:sz w:val="14"/>
          <w:szCs w:val="14"/>
          <w:color w:val="B4B4B4"/>
        </w:rPr>
        <w:t>. . . . . . . . . . . . . . . . . . . . . . . . . . . . . . . . . . . . . . . . . . . . . . . . . . . . . . . . . . . . . . . . . . . . . . . . . . . . . . . . . . . . . . . . . . .</w:t>
      </w:r>
      <w:r>
        <w:rPr>
          <w:rFonts w:ascii="Arial" w:cs="Arial" w:eastAsia="Arial" w:hAnsi="Arial"/>
          <w:sz w:val="14"/>
          <w:szCs w:val="14"/>
          <w:color w:val="auto"/>
        </w:rPr>
        <w:tab/>
        <w:t>42</w:t>
      </w:r>
    </w:p>
    <w:p>
      <w:pPr>
        <w:spacing w:after="0" w:line="308" w:lineRule="exact"/>
        <w:rPr>
          <w:sz w:val="20"/>
          <w:szCs w:val="20"/>
          <w:color w:val="auto"/>
        </w:rPr>
      </w:pPr>
    </w:p>
    <w:p>
      <w:pPr>
        <w:ind w:left="660"/>
        <w:spacing w:after="0"/>
        <w:tabs>
          <w:tab w:leader="none" w:pos="8440" w:val="left"/>
        </w:tabs>
        <w:rPr>
          <w:sz w:val="20"/>
          <w:szCs w:val="20"/>
          <w:color w:val="auto"/>
        </w:rPr>
      </w:pPr>
      <w:r>
        <w:rPr>
          <w:rFonts w:ascii="Arial" w:cs="Arial" w:eastAsia="Arial" w:hAnsi="Arial"/>
          <w:sz w:val="14"/>
          <w:szCs w:val="14"/>
          <w:b w:val="1"/>
          <w:bCs w:val="1"/>
          <w:color w:val="FFFFFF"/>
        </w:rPr>
        <w:t>PROPOSAL 2 Advisory Vote on Executive Compensation</w:t>
      </w:r>
      <w:r>
        <w:rPr>
          <w:sz w:val="20"/>
          <w:szCs w:val="20"/>
          <w:color w:val="auto"/>
        </w:rPr>
        <w:tab/>
      </w:r>
      <w:r>
        <w:rPr>
          <w:rFonts w:ascii="Arial" w:cs="Arial" w:eastAsia="Arial" w:hAnsi="Arial"/>
          <w:sz w:val="14"/>
          <w:szCs w:val="14"/>
          <w:b w:val="1"/>
          <w:bCs w:val="1"/>
          <w:color w:val="auto"/>
        </w:rPr>
        <w:t>45</w:t>
      </w:r>
    </w:p>
    <w:p>
      <w:pPr>
        <w:spacing w:after="0" w:line="231"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Certain Information About Our Executive Officers </w:t>
      </w:r>
      <w:r>
        <w:rPr>
          <w:rFonts w:ascii="Times New Roman" w:cs="Times New Roman" w:eastAsia="Times New Roman" w:hAnsi="Times New Roman"/>
          <w:sz w:val="14"/>
          <w:szCs w:val="14"/>
          <w:color w:val="B4B4B4"/>
        </w:rPr>
        <w:t>. . . . . . . . . . . . . . . . . . . . . . . . . . . . . . . . . . . . . . . . . . . . . . . . . . . . . . . . . . . . . . . . . . . .</w:t>
      </w:r>
      <w:r>
        <w:rPr>
          <w:rFonts w:ascii="Arial" w:cs="Arial" w:eastAsia="Arial" w:hAnsi="Arial"/>
          <w:sz w:val="14"/>
          <w:szCs w:val="14"/>
          <w:color w:val="auto"/>
        </w:rPr>
        <w:tab/>
        <w:t>46</w:t>
      </w:r>
    </w:p>
    <w:p>
      <w:pPr>
        <w:spacing w:after="0" w:line="28"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b w:val="1"/>
          <w:bCs w:val="1"/>
          <w:color w:val="431C5B"/>
        </w:rPr>
        <w:t xml:space="preserve">Compensation Discussion and Analysis </w:t>
      </w:r>
      <w:r>
        <w:rPr>
          <w:rFonts w:ascii="Times New Roman" w:cs="Times New Roman" w:eastAsia="Times New Roman" w:hAnsi="Times New Roman"/>
          <w:sz w:val="14"/>
          <w:szCs w:val="14"/>
          <w:b w:val="1"/>
          <w:bCs w:val="1"/>
          <w:color w:val="B4B4B4"/>
        </w:rPr>
        <w:t>. . . . . . . . . . . . . . . . . . . . . . . . . . . . . . . . . . . . . . . . . . . . . . . . . . . . . . . . . . . . . . . . . . . . . . . . .</w:t>
      </w:r>
      <w:r>
        <w:rPr>
          <w:rFonts w:ascii="Arial" w:cs="Arial" w:eastAsia="Arial" w:hAnsi="Arial"/>
          <w:sz w:val="14"/>
          <w:szCs w:val="14"/>
          <w:b w:val="1"/>
          <w:bCs w:val="1"/>
          <w:color w:val="431C5B"/>
        </w:rPr>
        <w:tab/>
        <w:t>48</w:t>
      </w:r>
    </w:p>
    <w:p>
      <w:pPr>
        <w:spacing w:after="0" w:line="2"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Executive Summary </w:t>
      </w:r>
      <w:r>
        <w:rPr>
          <w:rFonts w:ascii="Times New Roman" w:cs="Times New Roman" w:eastAsia="Times New Roman" w:hAnsi="Times New Roman"/>
          <w:sz w:val="14"/>
          <w:szCs w:val="14"/>
          <w:color w:val="B4B4B4"/>
        </w:rPr>
        <w:t>. . . . . . . . . . . . . . . . . . . . . . . . . . . . . . . . . . . . . . . . . . . . . . . . . . . . . . . . . . . . . . . . . . . . . . . . . . . . . . . . . . . . . . . . . . . . . .</w:t>
      </w:r>
      <w:r>
        <w:rPr>
          <w:rFonts w:ascii="Arial" w:cs="Arial" w:eastAsia="Arial" w:hAnsi="Arial"/>
          <w:sz w:val="14"/>
          <w:szCs w:val="14"/>
          <w:color w:val="auto"/>
        </w:rPr>
        <w:tab/>
        <w:t>48</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2025 Performance Highlights </w:t>
      </w:r>
      <w:r>
        <w:rPr>
          <w:rFonts w:ascii="Times New Roman" w:cs="Times New Roman" w:eastAsia="Times New Roman" w:hAnsi="Times New Roman"/>
          <w:sz w:val="14"/>
          <w:szCs w:val="14"/>
          <w:color w:val="B4B4B4"/>
        </w:rPr>
        <w:t>. . . . . . . . . . . . . . . . . . . . . . . . . . . . . . . . . . . . . . . . . . . . . . . . . . . . . . . . . . . . . . . . . . . . . . . . . . . . . . . . . . . . . .</w:t>
      </w:r>
      <w:r>
        <w:rPr>
          <w:rFonts w:ascii="Arial" w:cs="Arial" w:eastAsia="Arial" w:hAnsi="Arial"/>
          <w:sz w:val="14"/>
          <w:szCs w:val="14"/>
          <w:color w:val="auto"/>
        </w:rPr>
        <w:tab/>
        <w:t>51</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Compensation Governance </w:t>
      </w:r>
      <w:r>
        <w:rPr>
          <w:rFonts w:ascii="Times New Roman" w:cs="Times New Roman" w:eastAsia="Times New Roman" w:hAnsi="Times New Roman"/>
          <w:sz w:val="14"/>
          <w:szCs w:val="14"/>
          <w:color w:val="B4B4B4"/>
        </w:rPr>
        <w:t>. . . . . . . . . . . . . . . . . . . . . . . . . . . . . . . . . . . . . . . . . . . . . . . . . . . . . . . . . . . . . . . . . . . . . . . . . . . . . . . . . . . . . . .</w:t>
      </w:r>
      <w:r>
        <w:rPr>
          <w:rFonts w:ascii="Arial" w:cs="Arial" w:eastAsia="Arial" w:hAnsi="Arial"/>
          <w:sz w:val="14"/>
          <w:szCs w:val="14"/>
          <w:color w:val="auto"/>
        </w:rPr>
        <w:tab/>
        <w:t>52</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2025 Say-On-Pay Vote and Shareholder Engagement </w:t>
      </w:r>
      <w:r>
        <w:rPr>
          <w:rFonts w:ascii="Times New Roman" w:cs="Times New Roman" w:eastAsia="Times New Roman" w:hAnsi="Times New Roman"/>
          <w:sz w:val="14"/>
          <w:szCs w:val="14"/>
          <w:color w:val="B4B4B4"/>
        </w:rPr>
        <w:t>. . . . . . . . . . . . . . . . . . . . . . . . . . . . . . . . . . . . . . . . . . . . . . . . . . . . . . . . . . . . . . . .</w:t>
      </w:r>
      <w:r>
        <w:rPr>
          <w:rFonts w:ascii="Arial" w:cs="Arial" w:eastAsia="Arial" w:hAnsi="Arial"/>
          <w:sz w:val="14"/>
          <w:szCs w:val="14"/>
          <w:color w:val="auto"/>
        </w:rPr>
        <w:tab/>
        <w:t>53</w:t>
      </w:r>
    </w:p>
    <w:p>
      <w:pPr>
        <w:spacing w:after="0" w:line="25"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Compensation Philosophy </w:t>
      </w:r>
      <w:r>
        <w:rPr>
          <w:rFonts w:ascii="Times New Roman" w:cs="Times New Roman" w:eastAsia="Times New Roman" w:hAnsi="Times New Roman"/>
          <w:sz w:val="14"/>
          <w:szCs w:val="14"/>
          <w:color w:val="B4B4B4"/>
        </w:rPr>
        <w:t>. . . . . . . . . . . . . . . . . . . . . . . . . . . . . . . . . . . . . . . . . . . . . . . . . . . . . . . . . . . . . . . . . . . . . . . . . . . . . . . . . . . . . . . .</w:t>
      </w:r>
      <w:r>
        <w:rPr>
          <w:rFonts w:ascii="Arial" w:cs="Arial" w:eastAsia="Arial" w:hAnsi="Arial"/>
          <w:sz w:val="14"/>
          <w:szCs w:val="14"/>
          <w:color w:val="auto"/>
        </w:rPr>
        <w:tab/>
        <w:t>53</w:t>
      </w:r>
    </w:p>
    <w:p>
      <w:pPr>
        <w:spacing w:after="0" w:line="2"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Compensation Objectives </w:t>
      </w:r>
      <w:r>
        <w:rPr>
          <w:rFonts w:ascii="Times New Roman" w:cs="Times New Roman" w:eastAsia="Times New Roman" w:hAnsi="Times New Roman"/>
          <w:sz w:val="14"/>
          <w:szCs w:val="14"/>
          <w:color w:val="B4B4B4"/>
        </w:rPr>
        <w:t>. . . . . . . . . . . . . . . . . . . . . . . . . . . . . . . . . . . . . . . . . . . . . . . . . . . . . . . . . . . . . . . . . . . . . . . . . . . . . . . . . . . . . . . . .</w:t>
      </w:r>
      <w:r>
        <w:rPr>
          <w:rFonts w:ascii="Arial" w:cs="Arial" w:eastAsia="Arial" w:hAnsi="Arial"/>
          <w:sz w:val="14"/>
          <w:szCs w:val="14"/>
          <w:color w:val="auto"/>
        </w:rPr>
        <w:tab/>
        <w:t>53</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Establishing Executive Compensation Levels </w:t>
      </w:r>
      <w:r>
        <w:rPr>
          <w:rFonts w:ascii="Times New Roman" w:cs="Times New Roman" w:eastAsia="Times New Roman" w:hAnsi="Times New Roman"/>
          <w:sz w:val="14"/>
          <w:szCs w:val="14"/>
          <w:color w:val="B4B4B4"/>
        </w:rPr>
        <w:t>. . . . . . . . . . . . . . . . . . . . . . . . . . . . . . . . . . . . . . . . . . . . . . . . . . . . . . . . . . . . . . . . . . . . . . . .</w:t>
      </w:r>
      <w:r>
        <w:rPr>
          <w:rFonts w:ascii="Arial" w:cs="Arial" w:eastAsia="Arial" w:hAnsi="Arial"/>
          <w:sz w:val="14"/>
          <w:szCs w:val="14"/>
          <w:color w:val="auto"/>
        </w:rPr>
        <w:tab/>
        <w:t>54</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Independence of the Compensation Consultant </w:t>
      </w:r>
      <w:r>
        <w:rPr>
          <w:rFonts w:ascii="Times New Roman" w:cs="Times New Roman" w:eastAsia="Times New Roman" w:hAnsi="Times New Roman"/>
          <w:sz w:val="14"/>
          <w:szCs w:val="14"/>
          <w:color w:val="B4B4B4"/>
        </w:rPr>
        <w:t>. . . . . . . . . . . . . . . . . . . . . . . . . . . . . . . . . . . . . . . . . . . . . . . . . . . . . . . . . . . . . . . . . . . . . .</w:t>
      </w:r>
      <w:r>
        <w:rPr>
          <w:rFonts w:ascii="Arial" w:cs="Arial" w:eastAsia="Arial" w:hAnsi="Arial"/>
          <w:sz w:val="14"/>
          <w:szCs w:val="14"/>
          <w:color w:val="auto"/>
        </w:rPr>
        <w:tab/>
        <w:t>56</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Compensation Elements </w:t>
      </w:r>
      <w:r>
        <w:rPr>
          <w:rFonts w:ascii="Times New Roman" w:cs="Times New Roman" w:eastAsia="Times New Roman" w:hAnsi="Times New Roman"/>
          <w:sz w:val="14"/>
          <w:szCs w:val="14"/>
          <w:color w:val="B4B4B4"/>
        </w:rPr>
        <w:t>. . . . . . . . . . . . . . . . . . . . . . . . . . . . . . . . . . . . . . . . . . . . . . . . . . . . . . . . . . . . . . . . . . . . . . . . . . . . . . . . . . . . . . . . . .</w:t>
      </w:r>
      <w:r>
        <w:rPr>
          <w:rFonts w:ascii="Arial" w:cs="Arial" w:eastAsia="Arial" w:hAnsi="Arial"/>
          <w:sz w:val="14"/>
          <w:szCs w:val="14"/>
          <w:color w:val="auto"/>
        </w:rPr>
        <w:tab/>
        <w:t>57</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2025 Total Compensation </w:t>
      </w:r>
      <w:r>
        <w:rPr>
          <w:rFonts w:ascii="Times New Roman" w:cs="Times New Roman" w:eastAsia="Times New Roman" w:hAnsi="Times New Roman"/>
          <w:sz w:val="14"/>
          <w:szCs w:val="14"/>
          <w:color w:val="B4B4B4"/>
        </w:rPr>
        <w:t>. . . . . . . . . . . . . . . . . . . . . . . . . . . . . . . . . . . . . . . . . . . . . . . . . . . . . . . . . . . . . . . . . . . . . . . . . . . . . . . . . . . . . . . . .</w:t>
      </w:r>
      <w:r>
        <w:rPr>
          <w:rFonts w:ascii="Arial" w:cs="Arial" w:eastAsia="Arial" w:hAnsi="Arial"/>
          <w:sz w:val="14"/>
          <w:szCs w:val="14"/>
          <w:color w:val="auto"/>
        </w:rPr>
        <w:tab/>
        <w:t>58</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Compensation Process </w:t>
      </w:r>
      <w:r>
        <w:rPr>
          <w:rFonts w:ascii="Times New Roman" w:cs="Times New Roman" w:eastAsia="Times New Roman" w:hAnsi="Times New Roman"/>
          <w:sz w:val="14"/>
          <w:szCs w:val="14"/>
          <w:color w:val="B4B4B4"/>
        </w:rPr>
        <w:t>. . . . . . . . . . . . . . . . . . . . . . . . . . . . . . . . . . . . . . . . . . . . . . . . . . . . . . . . . . . . . . . . . . . . . . . . . . . . . . . . . . . . . . . . . . .</w:t>
      </w:r>
      <w:r>
        <w:rPr>
          <w:rFonts w:ascii="Arial" w:cs="Arial" w:eastAsia="Arial" w:hAnsi="Arial"/>
          <w:sz w:val="14"/>
          <w:szCs w:val="14"/>
          <w:color w:val="auto"/>
        </w:rPr>
        <w:tab/>
        <w:t>58</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Compensation Committee Report </w:t>
      </w:r>
      <w:r>
        <w:rPr>
          <w:rFonts w:ascii="Times New Roman" w:cs="Times New Roman" w:eastAsia="Times New Roman" w:hAnsi="Times New Roman"/>
          <w:sz w:val="14"/>
          <w:szCs w:val="14"/>
          <w:color w:val="B4B4B4"/>
        </w:rPr>
        <w:t>. . . . . . . . . . . . . . . . . . . . . . . . . . . . . . . . . . . . . . . . . . . . . . . . . . . . . . . . . . . . . . . . . . . . . . . . . . . . . . . . . .</w:t>
      </w:r>
      <w:r>
        <w:rPr>
          <w:rFonts w:ascii="Arial" w:cs="Arial" w:eastAsia="Arial" w:hAnsi="Arial"/>
          <w:sz w:val="14"/>
          <w:szCs w:val="14"/>
          <w:color w:val="auto"/>
        </w:rPr>
        <w:tab/>
        <w:t>71</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b w:val="1"/>
          <w:bCs w:val="1"/>
          <w:color w:val="431C5B"/>
        </w:rPr>
        <w:t xml:space="preserve">Executive Compensation </w:t>
      </w:r>
      <w:r>
        <w:rPr>
          <w:rFonts w:ascii="Times New Roman" w:cs="Times New Roman" w:eastAsia="Times New Roman" w:hAnsi="Times New Roman"/>
          <w:sz w:val="14"/>
          <w:szCs w:val="14"/>
          <w:b w:val="1"/>
          <w:bCs w:val="1"/>
          <w:color w:val="B4B4B4"/>
        </w:rPr>
        <w:t>. . . . . . . . . . . . . . . . . . . . . . . . . . . . . . . . . . . . . . . . . . . . . . . . . . . . . . . . . . . . . . . . . . . . . . . . . . . . . . . . . . . . . . . .</w:t>
      </w:r>
      <w:r>
        <w:rPr>
          <w:rFonts w:ascii="Arial" w:cs="Arial" w:eastAsia="Arial" w:hAnsi="Arial"/>
          <w:sz w:val="14"/>
          <w:szCs w:val="14"/>
          <w:b w:val="1"/>
          <w:bCs w:val="1"/>
          <w:color w:val="431C5B"/>
        </w:rPr>
        <w:tab/>
        <w:t>72</w:t>
      </w:r>
    </w:p>
    <w:p>
      <w:pPr>
        <w:spacing w:after="0" w:line="25"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2025 Summary Compensation Table </w:t>
      </w:r>
      <w:r>
        <w:rPr>
          <w:rFonts w:ascii="Times New Roman" w:cs="Times New Roman" w:eastAsia="Times New Roman" w:hAnsi="Times New Roman"/>
          <w:sz w:val="14"/>
          <w:szCs w:val="14"/>
          <w:color w:val="B4B4B4"/>
        </w:rPr>
        <w:t>. . . . . . . . . . . . . . . . . . . . . . . . . . . . . . . . . . . . . . . . . . . . . . . . . . . . . . . . . . . . . . . . . . . . . . . . . . . . . . .</w:t>
      </w:r>
      <w:r>
        <w:rPr>
          <w:rFonts w:ascii="Arial" w:cs="Arial" w:eastAsia="Arial" w:hAnsi="Arial"/>
          <w:sz w:val="14"/>
          <w:szCs w:val="14"/>
          <w:color w:val="auto"/>
        </w:rPr>
        <w:tab/>
        <w:t>72</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2025 Grants of Plan-Based Awards </w:t>
      </w:r>
      <w:r>
        <w:rPr>
          <w:rFonts w:ascii="Times New Roman" w:cs="Times New Roman" w:eastAsia="Times New Roman" w:hAnsi="Times New Roman"/>
          <w:sz w:val="14"/>
          <w:szCs w:val="14"/>
          <w:color w:val="B4B4B4"/>
        </w:rPr>
        <w:t>. . . . . . . . . . . . . . . . . . . . . . . . . . . . . . . . . . . . . . . . . . . . . . . . . . . . . . . . . . . . . . . . . . . . . . . . . . . . . . . .</w:t>
      </w:r>
      <w:r>
        <w:rPr>
          <w:rFonts w:ascii="Arial" w:cs="Arial" w:eastAsia="Arial" w:hAnsi="Arial"/>
          <w:sz w:val="14"/>
          <w:szCs w:val="14"/>
          <w:color w:val="auto"/>
        </w:rPr>
        <w:tab/>
        <w:t>73</w:t>
      </w:r>
    </w:p>
    <w:p>
      <w:pPr>
        <w:spacing w:after="0" w:line="2"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Narrative Discussion for Summary Compensation Table and Grants of Plan-Based Awards Table </w:t>
      </w:r>
      <w:r>
        <w:rPr>
          <w:rFonts w:ascii="Times New Roman" w:cs="Times New Roman" w:eastAsia="Times New Roman" w:hAnsi="Times New Roman"/>
          <w:sz w:val="14"/>
          <w:szCs w:val="14"/>
          <w:color w:val="B4B4B4"/>
        </w:rPr>
        <w:t>. . . . . . . . . . . . . . . . . . . . . . . . . . .</w:t>
      </w:r>
      <w:r>
        <w:rPr>
          <w:rFonts w:ascii="Arial" w:cs="Arial" w:eastAsia="Arial" w:hAnsi="Arial"/>
          <w:sz w:val="14"/>
          <w:szCs w:val="14"/>
          <w:color w:val="auto"/>
        </w:rPr>
        <w:tab/>
        <w:t>74</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2025 Outstanding Equity Awards at Fiscal Year-end </w:t>
      </w:r>
      <w:r>
        <w:rPr>
          <w:rFonts w:ascii="Times New Roman" w:cs="Times New Roman" w:eastAsia="Times New Roman" w:hAnsi="Times New Roman"/>
          <w:sz w:val="14"/>
          <w:szCs w:val="14"/>
          <w:color w:val="B4B4B4"/>
        </w:rPr>
        <w:t>. . . . . . . . . . . . . . . . . . . . . . . . . . . . . . . . . . . . . . . . . . . . . . . . . . . . . . . . . . . . . . . . . .</w:t>
      </w:r>
      <w:r>
        <w:rPr>
          <w:rFonts w:ascii="Arial" w:cs="Arial" w:eastAsia="Arial" w:hAnsi="Arial"/>
          <w:sz w:val="14"/>
          <w:szCs w:val="14"/>
          <w:color w:val="auto"/>
        </w:rPr>
        <w:tab/>
        <w:t>75</w:t>
      </w:r>
    </w:p>
    <w:p>
      <w:pPr>
        <w:spacing w:after="0" w:line="25"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2025 Option Exercises and Stock Vested </w:t>
      </w:r>
      <w:r>
        <w:rPr>
          <w:rFonts w:ascii="Times New Roman" w:cs="Times New Roman" w:eastAsia="Times New Roman" w:hAnsi="Times New Roman"/>
          <w:sz w:val="14"/>
          <w:szCs w:val="14"/>
          <w:color w:val="B4B4B4"/>
        </w:rPr>
        <w:t>. . . . . . . . . . . . . . . . . . . . . . . . . . . . . . . . . . . . . . . . . . . . . . . . . . . . . . . . . . . . . . . . . . . . . . . . . . .</w:t>
      </w:r>
      <w:r>
        <w:rPr>
          <w:rFonts w:ascii="Arial" w:cs="Arial" w:eastAsia="Arial" w:hAnsi="Arial"/>
          <w:sz w:val="14"/>
          <w:szCs w:val="14"/>
          <w:color w:val="auto"/>
        </w:rPr>
        <w:tab/>
        <w:t>76</w:t>
      </w:r>
    </w:p>
    <w:p>
      <w:pPr>
        <w:spacing w:after="0" w:line="2"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2025 Nonqualified Deferred Compensation </w:t>
      </w:r>
      <w:r>
        <w:rPr>
          <w:rFonts w:ascii="Times New Roman" w:cs="Times New Roman" w:eastAsia="Times New Roman" w:hAnsi="Times New Roman"/>
          <w:sz w:val="14"/>
          <w:szCs w:val="14"/>
          <w:color w:val="B4B4B4"/>
        </w:rPr>
        <w:t>. . . . . . . . . . . . . . . . . . . . . . . . . . . . . . . . . . . . . . . . . . . . . . . . . . . . . . . . . . . . . . . . . . . . . . . . . .</w:t>
      </w:r>
      <w:r>
        <w:rPr>
          <w:rFonts w:ascii="Arial" w:cs="Arial" w:eastAsia="Arial" w:hAnsi="Arial"/>
          <w:sz w:val="14"/>
          <w:szCs w:val="14"/>
          <w:color w:val="auto"/>
        </w:rPr>
        <w:tab/>
        <w:t>76</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Potential Payments Upon Termination or Change in Control </w:t>
      </w:r>
      <w:r>
        <w:rPr>
          <w:rFonts w:ascii="Times New Roman" w:cs="Times New Roman" w:eastAsia="Times New Roman" w:hAnsi="Times New Roman"/>
          <w:sz w:val="14"/>
          <w:szCs w:val="14"/>
          <w:color w:val="B4B4B4"/>
        </w:rPr>
        <w:t>. . . . . . . . . . . . . . . . . . . . . . . . . . . . . . . . . . . . . . . . . . . . . . . . . . . . . . . . . . .</w:t>
      </w:r>
      <w:r>
        <w:rPr>
          <w:rFonts w:ascii="Arial" w:cs="Arial" w:eastAsia="Arial" w:hAnsi="Arial"/>
          <w:sz w:val="14"/>
          <w:szCs w:val="14"/>
          <w:color w:val="auto"/>
        </w:rPr>
        <w:tab/>
        <w:t>77</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Compensation Risk Assessment </w:t>
      </w:r>
      <w:r>
        <w:rPr>
          <w:rFonts w:ascii="Times New Roman" w:cs="Times New Roman" w:eastAsia="Times New Roman" w:hAnsi="Times New Roman"/>
          <w:sz w:val="14"/>
          <w:szCs w:val="14"/>
          <w:color w:val="B4B4B4"/>
        </w:rPr>
        <w:t>. . . . . . . . . . . . . . . . . . . . . . . . . . . . . . . . . . . . . . . . . . . . . . . . . . . . . . . . . . . . . . . . . . . . . . . . . . . . . . . . . . .</w:t>
      </w:r>
      <w:r>
        <w:rPr>
          <w:rFonts w:ascii="Arial" w:cs="Arial" w:eastAsia="Arial" w:hAnsi="Arial"/>
          <w:sz w:val="14"/>
          <w:szCs w:val="14"/>
          <w:color w:val="auto"/>
        </w:rPr>
        <w:tab/>
        <w:t>82</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CEO Pay Ratio </w:t>
      </w:r>
      <w:r>
        <w:rPr>
          <w:rFonts w:ascii="Times New Roman" w:cs="Times New Roman" w:eastAsia="Times New Roman" w:hAnsi="Times New Roman"/>
          <w:sz w:val="14"/>
          <w:szCs w:val="14"/>
          <w:color w:val="B4B4B4"/>
        </w:rPr>
        <w:t>. . . . . . . . . . . . . . . . . . . . . . . . . . . . . . . . . . . . . . . . . . . . . . . . . . . . . . . . . . . . . . . . . . . . . . . . . . . . . . . . . . . . . . . . . . . . . . . . . .</w:t>
      </w:r>
      <w:r>
        <w:rPr>
          <w:rFonts w:ascii="Arial" w:cs="Arial" w:eastAsia="Arial" w:hAnsi="Arial"/>
          <w:sz w:val="14"/>
          <w:szCs w:val="14"/>
          <w:color w:val="auto"/>
        </w:rPr>
        <w:tab/>
        <w:t>82</w:t>
      </w:r>
    </w:p>
    <w:p>
      <w:pPr>
        <w:spacing w:after="0" w:line="25"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Pay Versus Performance </w:t>
      </w:r>
      <w:r>
        <w:rPr>
          <w:rFonts w:ascii="Times New Roman" w:cs="Times New Roman" w:eastAsia="Times New Roman" w:hAnsi="Times New Roman"/>
          <w:sz w:val="14"/>
          <w:szCs w:val="14"/>
          <w:color w:val="B4B4B4"/>
        </w:rPr>
        <w:t>. . . . . . . . . . . . . . . . . . . . . . . . . . . . . . . . . . . . . . . . . . . . . . . . . . . . . . . . . . . . . . . . . . . . . . . . . . . . . . . . . . . . . . . . .</w:t>
      </w:r>
      <w:r>
        <w:rPr>
          <w:rFonts w:ascii="Arial" w:cs="Arial" w:eastAsia="Arial" w:hAnsi="Arial"/>
          <w:sz w:val="14"/>
          <w:szCs w:val="14"/>
          <w:color w:val="auto"/>
        </w:rPr>
        <w:tab/>
        <w:t>82</w:t>
      </w:r>
    </w:p>
    <w:p>
      <w:pPr>
        <w:spacing w:after="0" w:line="283" w:lineRule="exact"/>
        <w:rPr>
          <w:sz w:val="20"/>
          <w:szCs w:val="20"/>
          <w:color w:val="auto"/>
        </w:rPr>
      </w:pPr>
    </w:p>
    <w:p>
      <w:pPr>
        <w:ind w:left="660"/>
        <w:spacing w:after="0"/>
        <w:tabs>
          <w:tab w:leader="none" w:pos="8440" w:val="left"/>
        </w:tabs>
        <w:rPr>
          <w:sz w:val="20"/>
          <w:szCs w:val="20"/>
          <w:color w:val="auto"/>
        </w:rPr>
      </w:pPr>
      <w:r>
        <w:rPr>
          <w:rFonts w:ascii="Arial" w:cs="Arial" w:eastAsia="Arial" w:hAnsi="Arial"/>
          <w:sz w:val="14"/>
          <w:szCs w:val="14"/>
          <w:b w:val="1"/>
          <w:bCs w:val="1"/>
          <w:color w:val="FFFFFF"/>
        </w:rPr>
        <w:t>PROPOSAL 3 Ratification of Independent Registered Public Accounting Firm</w:t>
      </w:r>
      <w:r>
        <w:rPr>
          <w:sz w:val="20"/>
          <w:szCs w:val="20"/>
          <w:color w:val="auto"/>
        </w:rPr>
        <w:tab/>
      </w:r>
      <w:r>
        <w:rPr>
          <w:rFonts w:ascii="Arial" w:cs="Arial" w:eastAsia="Arial" w:hAnsi="Arial"/>
          <w:sz w:val="14"/>
          <w:szCs w:val="14"/>
          <w:b w:val="1"/>
          <w:bCs w:val="1"/>
          <w:color w:val="auto"/>
        </w:rPr>
        <w:t>89</w:t>
      </w:r>
    </w:p>
    <w:p>
      <w:pPr>
        <w:spacing w:after="0" w:line="24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Ratification of KPMG as the Company’s Independent Registered Public Accounting Firm </w:t>
      </w:r>
      <w:r>
        <w:rPr>
          <w:rFonts w:ascii="Times New Roman" w:cs="Times New Roman" w:eastAsia="Times New Roman" w:hAnsi="Times New Roman"/>
          <w:sz w:val="14"/>
          <w:szCs w:val="14"/>
          <w:color w:val="B4B4B4"/>
        </w:rPr>
        <w:t>. . . . . . . . . . . . . . . . . . . . . . . . . . . . . . . . . .</w:t>
      </w:r>
      <w:r>
        <w:rPr>
          <w:rFonts w:ascii="Arial" w:cs="Arial" w:eastAsia="Arial" w:hAnsi="Arial"/>
          <w:sz w:val="14"/>
          <w:szCs w:val="14"/>
          <w:color w:val="auto"/>
        </w:rPr>
        <w:tab/>
        <w:t>90</w:t>
      </w:r>
    </w:p>
    <w:p>
      <w:pPr>
        <w:spacing w:after="0" w:line="41"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Principal Accounting Fees and Services </w:t>
      </w:r>
      <w:r>
        <w:rPr>
          <w:rFonts w:ascii="Times New Roman" w:cs="Times New Roman" w:eastAsia="Times New Roman" w:hAnsi="Times New Roman"/>
          <w:sz w:val="14"/>
          <w:szCs w:val="14"/>
          <w:color w:val="B4B4B4"/>
        </w:rPr>
        <w:t>. . . . . . . . . . . . . . . . . . . . . . . . . . . . . . . . . . . . . . . . . . . . . . . . . . . . . . . . . . . . . . . . . . . . . . . . . . . .</w:t>
      </w:r>
      <w:r>
        <w:rPr>
          <w:rFonts w:ascii="Arial" w:cs="Arial" w:eastAsia="Arial" w:hAnsi="Arial"/>
          <w:sz w:val="14"/>
          <w:szCs w:val="14"/>
          <w:color w:val="auto"/>
        </w:rPr>
        <w:tab/>
        <w:t>90</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color w:val="auto"/>
        </w:rPr>
        <w:t xml:space="preserve">Approval of Accountants’ Services </w:t>
      </w:r>
      <w:r>
        <w:rPr>
          <w:rFonts w:ascii="Times New Roman" w:cs="Times New Roman" w:eastAsia="Times New Roman" w:hAnsi="Times New Roman"/>
          <w:sz w:val="14"/>
          <w:szCs w:val="14"/>
          <w:color w:val="B4B4B4"/>
        </w:rPr>
        <w:t>. . . . . . . . . . . . . . . . . . . . . . . . . . . . . . . . . . . . . . . . . . . . . . . . . . . . . . . . . . . . . . . . . . . . . . . . . . . . . . . . .</w:t>
      </w:r>
      <w:r>
        <w:rPr>
          <w:rFonts w:ascii="Arial" w:cs="Arial" w:eastAsia="Arial" w:hAnsi="Arial"/>
          <w:sz w:val="14"/>
          <w:szCs w:val="14"/>
          <w:color w:val="auto"/>
        </w:rPr>
        <w:tab/>
        <w:t>90</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b w:val="1"/>
          <w:bCs w:val="1"/>
          <w:color w:val="431C5B"/>
        </w:rPr>
        <w:t xml:space="preserve">Report of the Audit Committee </w:t>
      </w:r>
      <w:r>
        <w:rPr>
          <w:rFonts w:ascii="Times New Roman" w:cs="Times New Roman" w:eastAsia="Times New Roman" w:hAnsi="Times New Roman"/>
          <w:sz w:val="14"/>
          <w:szCs w:val="14"/>
          <w:b w:val="1"/>
          <w:bCs w:val="1"/>
          <w:color w:val="B4B4B4"/>
        </w:rPr>
        <w:t>. . . . . . . . . . . . . . . . . . . . . . . . . . . . . . . . . . . . . . . . . . . . . . . . . . . . . . . . . . . . . . . . . . . . . . . . . . . . . . . . . .</w:t>
      </w:r>
      <w:r>
        <w:rPr>
          <w:rFonts w:ascii="Arial" w:cs="Arial" w:eastAsia="Arial" w:hAnsi="Arial"/>
          <w:sz w:val="14"/>
          <w:szCs w:val="14"/>
          <w:b w:val="1"/>
          <w:bCs w:val="1"/>
          <w:color w:val="431C5B"/>
        </w:rPr>
        <w:tab/>
        <w:t>91</w:t>
      </w:r>
    </w:p>
    <w:p>
      <w:pPr>
        <w:spacing w:after="0" w:line="2"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b w:val="1"/>
          <w:bCs w:val="1"/>
          <w:color w:val="431C5B"/>
        </w:rPr>
        <w:t xml:space="preserve">Security Ownership of Certain Beneficial Owners, Directors and Executive Officers </w:t>
      </w:r>
      <w:r>
        <w:rPr>
          <w:rFonts w:ascii="Times New Roman" w:cs="Times New Roman" w:eastAsia="Times New Roman" w:hAnsi="Times New Roman"/>
          <w:sz w:val="14"/>
          <w:szCs w:val="14"/>
          <w:b w:val="1"/>
          <w:bCs w:val="1"/>
          <w:color w:val="B4B4B4"/>
        </w:rPr>
        <w:t>. . . . . . . . . . . . . . . . . . . . . . . . . . . . . . . . .</w:t>
      </w:r>
      <w:r>
        <w:rPr>
          <w:rFonts w:ascii="Arial" w:cs="Arial" w:eastAsia="Arial" w:hAnsi="Arial"/>
          <w:sz w:val="14"/>
          <w:szCs w:val="14"/>
          <w:b w:val="1"/>
          <w:bCs w:val="1"/>
          <w:color w:val="431C5B"/>
        </w:rPr>
        <w:tab/>
        <w:t>92</w:t>
      </w:r>
    </w:p>
    <w:p>
      <w:pPr>
        <w:spacing w:after="0" w:line="25"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b w:val="1"/>
          <w:bCs w:val="1"/>
          <w:color w:val="431C5B"/>
        </w:rPr>
        <w:t xml:space="preserve">Securities Authorized for Issuance Under Equity Compensation Plans </w:t>
      </w:r>
      <w:r>
        <w:rPr>
          <w:rFonts w:ascii="Times New Roman" w:cs="Times New Roman" w:eastAsia="Times New Roman" w:hAnsi="Times New Roman"/>
          <w:sz w:val="14"/>
          <w:szCs w:val="14"/>
          <w:b w:val="1"/>
          <w:bCs w:val="1"/>
          <w:color w:val="B4B4B4"/>
        </w:rPr>
        <w:t>. . . . . . . . . . . . . . . . . . . . . . . . . . . . . . . . . . . . . . . . . . . . .</w:t>
      </w:r>
      <w:r>
        <w:rPr>
          <w:rFonts w:ascii="Arial" w:cs="Arial" w:eastAsia="Arial" w:hAnsi="Arial"/>
          <w:sz w:val="14"/>
          <w:szCs w:val="14"/>
          <w:b w:val="1"/>
          <w:bCs w:val="1"/>
          <w:color w:val="431C5B"/>
        </w:rPr>
        <w:tab/>
        <w:t>94</w:t>
      </w:r>
    </w:p>
    <w:p>
      <w:pPr>
        <w:spacing w:after="0" w:line="2"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b w:val="1"/>
          <w:bCs w:val="1"/>
          <w:color w:val="431C5B"/>
        </w:rPr>
        <w:t xml:space="preserve">Delinquent Section 16(a) Reports </w:t>
      </w:r>
      <w:r>
        <w:rPr>
          <w:rFonts w:ascii="Times New Roman" w:cs="Times New Roman" w:eastAsia="Times New Roman" w:hAnsi="Times New Roman"/>
          <w:sz w:val="14"/>
          <w:szCs w:val="14"/>
          <w:b w:val="1"/>
          <w:bCs w:val="1"/>
          <w:color w:val="B4B4B4"/>
        </w:rPr>
        <w:t>. . . . . . . . . . . . . . . . . . . . . . . . . . . . . . . . . . . . . . . . . . . . . . . . . . . . . . . . . . . . . . . . . . . . . . . . . . . . . . . .</w:t>
      </w:r>
      <w:r>
        <w:rPr>
          <w:rFonts w:ascii="Arial" w:cs="Arial" w:eastAsia="Arial" w:hAnsi="Arial"/>
          <w:sz w:val="14"/>
          <w:szCs w:val="14"/>
          <w:b w:val="1"/>
          <w:bCs w:val="1"/>
          <w:color w:val="431C5B"/>
        </w:rPr>
        <w:tab/>
        <w:t>94</w:t>
      </w:r>
    </w:p>
    <w:p>
      <w:pPr>
        <w:spacing w:after="0" w:line="14"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b w:val="1"/>
          <w:bCs w:val="1"/>
          <w:color w:val="431C5B"/>
        </w:rPr>
        <w:t xml:space="preserve">Shareholder Nominations for Board Membership and Other Proposals </w:t>
      </w:r>
      <w:r>
        <w:rPr>
          <w:rFonts w:ascii="Times New Roman" w:cs="Times New Roman" w:eastAsia="Times New Roman" w:hAnsi="Times New Roman"/>
          <w:sz w:val="14"/>
          <w:szCs w:val="14"/>
          <w:b w:val="1"/>
          <w:bCs w:val="1"/>
          <w:color w:val="B4B4B4"/>
        </w:rPr>
        <w:t>. . . . . . . . . . . . . . . . . . . . . . . . . . . . . . . . . . . . . . . . . . . . .</w:t>
      </w:r>
      <w:r>
        <w:rPr>
          <w:rFonts w:ascii="Arial" w:cs="Arial" w:eastAsia="Arial" w:hAnsi="Arial"/>
          <w:sz w:val="14"/>
          <w:szCs w:val="14"/>
          <w:b w:val="1"/>
          <w:bCs w:val="1"/>
          <w:color w:val="431C5B"/>
        </w:rPr>
        <w:tab/>
        <w:t>95</w:t>
      </w:r>
    </w:p>
    <w:p>
      <w:pPr>
        <w:spacing w:after="0" w:line="25"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b w:val="1"/>
          <w:bCs w:val="1"/>
          <w:color w:val="431C5B"/>
        </w:rPr>
        <w:t xml:space="preserve">Other Matters </w:t>
      </w:r>
      <w:r>
        <w:rPr>
          <w:rFonts w:ascii="Times New Roman" w:cs="Times New Roman" w:eastAsia="Times New Roman" w:hAnsi="Times New Roman"/>
          <w:sz w:val="14"/>
          <w:szCs w:val="14"/>
          <w:b w:val="1"/>
          <w:bCs w:val="1"/>
          <w:color w:val="B4B4B4"/>
        </w:rPr>
        <w:t>. . . . . . . . . . . . . . . . . . . . . . . . . . . . . . . . . . . . . . . . . . . . . . . . . . . . . . . . . . . . . . . . . . . . . . . . . . . . . . . . . . . . . . . . . . . . . . . . . .</w:t>
      </w:r>
      <w:r>
        <w:rPr>
          <w:rFonts w:ascii="Arial" w:cs="Arial" w:eastAsia="Arial" w:hAnsi="Arial"/>
          <w:sz w:val="14"/>
          <w:szCs w:val="14"/>
          <w:b w:val="1"/>
          <w:bCs w:val="1"/>
          <w:color w:val="431C5B"/>
        </w:rPr>
        <w:tab/>
        <w:t>96</w:t>
      </w:r>
    </w:p>
    <w:p>
      <w:pPr>
        <w:spacing w:after="0" w:line="2"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b w:val="1"/>
          <w:bCs w:val="1"/>
          <w:color w:val="431C5B"/>
        </w:rPr>
        <w:t xml:space="preserve">Available Information </w:t>
      </w:r>
      <w:r>
        <w:rPr>
          <w:rFonts w:ascii="Times New Roman" w:cs="Times New Roman" w:eastAsia="Times New Roman" w:hAnsi="Times New Roman"/>
          <w:sz w:val="14"/>
          <w:szCs w:val="14"/>
          <w:b w:val="1"/>
          <w:bCs w:val="1"/>
          <w:color w:val="B4B4B4"/>
        </w:rPr>
        <w:t>. . . . . . . . . . . . . . . . . . . . . . . . . . . . . . . . . . . . . . . . . . . . . . . . . . . . . . . . . . . . . . . . . . . . . . . . . . . . . . . . . . . . . . . . . . .</w:t>
      </w:r>
      <w:r>
        <w:rPr>
          <w:rFonts w:ascii="Arial" w:cs="Arial" w:eastAsia="Arial" w:hAnsi="Arial"/>
          <w:sz w:val="14"/>
          <w:szCs w:val="14"/>
          <w:b w:val="1"/>
          <w:bCs w:val="1"/>
          <w:color w:val="431C5B"/>
        </w:rPr>
        <w:tab/>
        <w:t>96</w:t>
      </w:r>
    </w:p>
    <w:p>
      <w:pPr>
        <w:spacing w:after="0" w:line="25" w:lineRule="exact"/>
        <w:rPr>
          <w:sz w:val="20"/>
          <w:szCs w:val="20"/>
          <w:color w:val="auto"/>
        </w:rPr>
      </w:pPr>
    </w:p>
    <w:p>
      <w:pPr>
        <w:ind w:left="200"/>
        <w:spacing w:after="0"/>
        <w:tabs>
          <w:tab w:leader="none" w:pos="8440" w:val="left"/>
        </w:tabs>
        <w:rPr>
          <w:sz w:val="20"/>
          <w:szCs w:val="20"/>
          <w:color w:val="auto"/>
        </w:rPr>
      </w:pPr>
      <w:r>
        <w:rPr>
          <w:rFonts w:ascii="Arial" w:cs="Arial" w:eastAsia="Arial" w:hAnsi="Arial"/>
          <w:sz w:val="14"/>
          <w:szCs w:val="14"/>
          <w:b w:val="1"/>
          <w:bCs w:val="1"/>
          <w:color w:val="431C5B"/>
        </w:rPr>
        <w:t xml:space="preserve">Frequently Asked Questions </w:t>
      </w:r>
      <w:r>
        <w:rPr>
          <w:rFonts w:ascii="Times New Roman" w:cs="Times New Roman" w:eastAsia="Times New Roman" w:hAnsi="Times New Roman"/>
          <w:sz w:val="14"/>
          <w:szCs w:val="14"/>
          <w:b w:val="1"/>
          <w:bCs w:val="1"/>
          <w:color w:val="B4B4B4"/>
        </w:rPr>
        <w:t>. . . . . . . . . . . . . . . . . . . . . . . . . . . . . . . . . . . . . . . . . . . . . . . . . . . . . . . . . . . . . . . . . . . . . . . . . . . . . . . . . . . .</w:t>
      </w:r>
      <w:r>
        <w:rPr>
          <w:rFonts w:ascii="Arial" w:cs="Arial" w:eastAsia="Arial" w:hAnsi="Arial"/>
          <w:sz w:val="14"/>
          <w:szCs w:val="14"/>
          <w:b w:val="1"/>
          <w:bCs w:val="1"/>
          <w:color w:val="431C5B"/>
        </w:rPr>
        <w:tab/>
        <w:t>96</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960"/>
        <w:spacing w:after="0"/>
        <w:tabs>
          <w:tab w:leader="none" w:pos="87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3</w:t>
      </w:r>
    </w:p>
    <w:p>
      <w:pPr>
        <w:sectPr>
          <w:pgSz w:w="11900" w:h="16838" w:orient="portrait"/>
          <w:cols w:equalWidth="0" w:num="1">
            <w:col w:w="9019"/>
          </w:cols>
          <w:pgMar w:left="1440" w:top="1440" w:right="1440" w:bottom="1440" w:gutter="0" w:footer="0" w:header="0"/>
          <w:type w:val="continuous"/>
        </w:sectPr>
      </w:pPr>
    </w:p>
    <w:bookmarkStart w:id="6" w:name="page7"/>
    <w:bookmarkEnd w:id="6"/>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53"/>
          <w:szCs w:val="53"/>
          <w:color w:val="FFFFFF"/>
        </w:rPr>
        <w:t>FIS at a Glance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right="139"/>
        <w:spacing w:after="0" w:line="280" w:lineRule="auto"/>
        <w:rPr>
          <w:sz w:val="20"/>
          <w:szCs w:val="20"/>
          <w:color w:val="auto"/>
        </w:rPr>
      </w:pPr>
      <w:r>
        <w:rPr>
          <w:rFonts w:ascii="Arial" w:cs="Arial" w:eastAsia="Arial" w:hAnsi="Arial"/>
          <w:sz w:val="16"/>
          <w:szCs w:val="16"/>
          <w:color w:val="auto"/>
        </w:rPr>
        <w:t>FIS is a financial technology company providing solutions to financial institutions, businesses, and developers. We unlock financial technology across the money lifecycle underpinning the world’s financial system. Our colleagues are dedicated to advancing the way the world pays, banks and invests, helping our clients confidently run, grow, and protect their businesses. Our expertise comes from decades of experience helping financial institutions and businesses of all sizes transform to meet the needs of their customers. Headquartered in Jacksonville, Florida, FIS is a member of the Fortune 500</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the Standard &amp; Poor’s 500</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Index.</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Our Strategic Differentiators</w:t>
      </w:r>
    </w:p>
    <w:p>
      <w:pPr>
        <w:spacing w:after="0" w:line="94" w:lineRule="exact"/>
        <w:rPr>
          <w:sz w:val="20"/>
          <w:szCs w:val="20"/>
          <w:color w:val="auto"/>
        </w:rPr>
      </w:pPr>
    </w:p>
    <w:p>
      <w:pPr>
        <w:ind w:left="140" w:right="279"/>
        <w:spacing w:after="0" w:line="301" w:lineRule="auto"/>
        <w:rPr>
          <w:sz w:val="20"/>
          <w:szCs w:val="20"/>
          <w:color w:val="auto"/>
        </w:rPr>
      </w:pPr>
      <w:r>
        <w:rPr>
          <w:rFonts w:ascii="Arial" w:cs="Arial" w:eastAsia="Arial" w:hAnsi="Arial"/>
          <w:sz w:val="16"/>
          <w:szCs w:val="16"/>
          <w:color w:val="auto"/>
        </w:rPr>
        <w:t>Our mission is to deliver superior technology solutions to our clients and to expand our client base to generate sustained revenue and earnings growth for our shareholders. Our strategy to achieve this goal is built on the following unique differentiators:</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688"/>
        </w:trPr>
        <w:tc>
          <w:tcPr>
            <w:tcW w:w="100" w:type="dxa"/>
            <w:vAlign w:val="bottom"/>
            <w:shd w:val="clear" w:color="auto" w:fill="431C5B"/>
          </w:tcPr>
          <w:p>
            <w:pPr>
              <w:spacing w:after="0"/>
              <w:rPr>
                <w:sz w:val="24"/>
                <w:szCs w:val="24"/>
                <w:color w:val="auto"/>
              </w:rPr>
            </w:pPr>
          </w:p>
        </w:tc>
        <w:tc>
          <w:tcPr>
            <w:tcW w:w="620" w:type="dxa"/>
            <w:vAlign w:val="bottom"/>
            <w:vMerge w:val="restart"/>
            <w:shd w:val="clear" w:color="auto" w:fill="431C5B"/>
          </w:tcPr>
          <w:p>
            <w:pPr>
              <w:jc w:val="right"/>
              <w:spacing w:after="0"/>
              <w:rPr>
                <w:sz w:val="20"/>
                <w:szCs w:val="20"/>
                <w:color w:val="auto"/>
              </w:rPr>
            </w:pPr>
            <w:r>
              <w:rPr>
                <w:rFonts w:ascii="Arial" w:cs="Arial" w:eastAsia="Arial" w:hAnsi="Arial"/>
                <w:sz w:val="58"/>
                <w:szCs w:val="58"/>
                <w:color w:val="EDFAEC"/>
              </w:rPr>
              <w:t>1</w:t>
            </w:r>
          </w:p>
        </w:tc>
        <w:tc>
          <w:tcPr>
            <w:tcW w:w="2120" w:type="dxa"/>
            <w:vAlign w:val="bottom"/>
            <w:shd w:val="clear" w:color="auto" w:fill="431C5B"/>
          </w:tcPr>
          <w:p>
            <w:pPr>
              <w:ind w:left="60"/>
              <w:spacing w:after="0"/>
              <w:rPr>
                <w:sz w:val="20"/>
                <w:szCs w:val="20"/>
                <w:color w:val="auto"/>
              </w:rPr>
            </w:pPr>
            <w:r>
              <w:rPr>
                <w:rFonts w:ascii="Arial" w:cs="Arial" w:eastAsia="Arial" w:hAnsi="Arial"/>
                <w:sz w:val="16"/>
                <w:szCs w:val="16"/>
                <w:b w:val="1"/>
                <w:bCs w:val="1"/>
                <w:color w:val="FFFFFF"/>
              </w:rPr>
              <w:t>A Scaled</w:t>
            </w:r>
          </w:p>
        </w:tc>
        <w:tc>
          <w:tcPr>
            <w:tcW w:w="100" w:type="dxa"/>
            <w:vAlign w:val="bottom"/>
          </w:tcPr>
          <w:p>
            <w:pPr>
              <w:spacing w:after="0"/>
              <w:rPr>
                <w:sz w:val="24"/>
                <w:szCs w:val="24"/>
                <w:color w:val="auto"/>
              </w:rPr>
            </w:pPr>
          </w:p>
        </w:tc>
        <w:tc>
          <w:tcPr>
            <w:tcW w:w="80" w:type="dxa"/>
            <w:vAlign w:val="bottom"/>
            <w:shd w:val="clear" w:color="auto" w:fill="431C5B"/>
          </w:tcPr>
          <w:p>
            <w:pPr>
              <w:spacing w:after="0"/>
              <w:rPr>
                <w:sz w:val="24"/>
                <w:szCs w:val="24"/>
                <w:color w:val="auto"/>
              </w:rPr>
            </w:pPr>
          </w:p>
        </w:tc>
        <w:tc>
          <w:tcPr>
            <w:tcW w:w="640" w:type="dxa"/>
            <w:vAlign w:val="bottom"/>
            <w:vMerge w:val="restart"/>
            <w:shd w:val="clear" w:color="auto" w:fill="431C5B"/>
          </w:tcPr>
          <w:p>
            <w:pPr>
              <w:jc w:val="right"/>
              <w:spacing w:after="0"/>
              <w:rPr>
                <w:sz w:val="20"/>
                <w:szCs w:val="20"/>
                <w:color w:val="auto"/>
              </w:rPr>
            </w:pPr>
            <w:r>
              <w:rPr>
                <w:rFonts w:ascii="Arial" w:cs="Arial" w:eastAsia="Arial" w:hAnsi="Arial"/>
                <w:sz w:val="58"/>
                <w:szCs w:val="58"/>
                <w:color w:val="EDFAEC"/>
              </w:rPr>
              <w:t>2</w:t>
            </w:r>
          </w:p>
        </w:tc>
        <w:tc>
          <w:tcPr>
            <w:tcW w:w="2140" w:type="dxa"/>
            <w:vAlign w:val="bottom"/>
            <w:shd w:val="clear" w:color="auto" w:fill="431C5B"/>
          </w:tcPr>
          <w:p>
            <w:pPr>
              <w:ind w:left="40"/>
              <w:spacing w:after="0"/>
              <w:rPr>
                <w:sz w:val="20"/>
                <w:szCs w:val="20"/>
                <w:color w:val="auto"/>
              </w:rPr>
            </w:pPr>
            <w:r>
              <w:rPr>
                <w:rFonts w:ascii="Arial" w:cs="Arial" w:eastAsia="Arial" w:hAnsi="Arial"/>
                <w:sz w:val="16"/>
                <w:szCs w:val="16"/>
                <w:b w:val="1"/>
                <w:bCs w:val="1"/>
                <w:color w:val="FFFFFF"/>
              </w:rPr>
              <w:t>With Global</w:t>
            </w:r>
          </w:p>
        </w:tc>
        <w:tc>
          <w:tcPr>
            <w:tcW w:w="100" w:type="dxa"/>
            <w:vAlign w:val="bottom"/>
          </w:tcPr>
          <w:p>
            <w:pPr>
              <w:spacing w:after="0"/>
              <w:rPr>
                <w:sz w:val="24"/>
                <w:szCs w:val="24"/>
                <w:color w:val="auto"/>
              </w:rPr>
            </w:pPr>
          </w:p>
        </w:tc>
        <w:tc>
          <w:tcPr>
            <w:tcW w:w="100" w:type="dxa"/>
            <w:vAlign w:val="bottom"/>
            <w:shd w:val="clear" w:color="auto" w:fill="431C5B"/>
          </w:tcPr>
          <w:p>
            <w:pPr>
              <w:spacing w:after="0"/>
              <w:rPr>
                <w:sz w:val="24"/>
                <w:szCs w:val="24"/>
                <w:color w:val="auto"/>
              </w:rPr>
            </w:pPr>
          </w:p>
        </w:tc>
        <w:tc>
          <w:tcPr>
            <w:tcW w:w="620" w:type="dxa"/>
            <w:vAlign w:val="bottom"/>
            <w:vMerge w:val="restart"/>
            <w:shd w:val="clear" w:color="auto" w:fill="431C5B"/>
          </w:tcPr>
          <w:p>
            <w:pPr>
              <w:jc w:val="right"/>
              <w:spacing w:after="0"/>
              <w:rPr>
                <w:sz w:val="20"/>
                <w:szCs w:val="20"/>
                <w:color w:val="auto"/>
              </w:rPr>
            </w:pPr>
            <w:r>
              <w:rPr>
                <w:rFonts w:ascii="Arial" w:cs="Arial" w:eastAsia="Arial" w:hAnsi="Arial"/>
                <w:sz w:val="58"/>
                <w:szCs w:val="58"/>
                <w:color w:val="EDFAEC"/>
              </w:rPr>
              <w:t>3</w:t>
            </w:r>
          </w:p>
        </w:tc>
        <w:tc>
          <w:tcPr>
            <w:tcW w:w="2140" w:type="dxa"/>
            <w:vAlign w:val="bottom"/>
            <w:shd w:val="clear" w:color="auto" w:fill="431C5B"/>
          </w:tcPr>
          <w:p>
            <w:pPr>
              <w:ind w:left="60"/>
              <w:spacing w:after="0"/>
              <w:rPr>
                <w:sz w:val="20"/>
                <w:szCs w:val="20"/>
                <w:color w:val="auto"/>
              </w:rPr>
            </w:pPr>
            <w:r>
              <w:rPr>
                <w:rFonts w:ascii="Arial" w:cs="Arial" w:eastAsia="Arial" w:hAnsi="Arial"/>
                <w:sz w:val="16"/>
                <w:szCs w:val="16"/>
                <w:b w:val="1"/>
                <w:bCs w:val="1"/>
                <w:color w:val="FFFFFF"/>
              </w:rPr>
              <w:t>Delivering</w:t>
            </w:r>
          </w:p>
        </w:tc>
        <w:tc>
          <w:tcPr>
            <w:tcW w:w="0" w:type="dxa"/>
            <w:vAlign w:val="bottom"/>
          </w:tcPr>
          <w:p>
            <w:pPr>
              <w:spacing w:after="0"/>
              <w:rPr>
                <w:sz w:val="1"/>
                <w:szCs w:val="1"/>
                <w:color w:val="auto"/>
              </w:rPr>
            </w:pPr>
          </w:p>
        </w:tc>
      </w:tr>
      <w:tr>
        <w:trPr>
          <w:trHeight w:val="216"/>
        </w:trPr>
        <w:tc>
          <w:tcPr>
            <w:tcW w:w="100" w:type="dxa"/>
            <w:vAlign w:val="bottom"/>
            <w:shd w:val="clear" w:color="auto" w:fill="431C5B"/>
          </w:tcPr>
          <w:p>
            <w:pPr>
              <w:spacing w:after="0"/>
              <w:rPr>
                <w:sz w:val="18"/>
                <w:szCs w:val="18"/>
                <w:color w:val="auto"/>
              </w:rPr>
            </w:pPr>
          </w:p>
        </w:tc>
        <w:tc>
          <w:tcPr>
            <w:tcW w:w="620" w:type="dxa"/>
            <w:vAlign w:val="bottom"/>
            <w:vMerge w:val="continue"/>
            <w:shd w:val="clear" w:color="auto" w:fill="431C5B"/>
          </w:tcPr>
          <w:p>
            <w:pPr>
              <w:spacing w:after="0"/>
              <w:rPr>
                <w:sz w:val="18"/>
                <w:szCs w:val="18"/>
                <w:color w:val="auto"/>
              </w:rPr>
            </w:pPr>
          </w:p>
        </w:tc>
        <w:tc>
          <w:tcPr>
            <w:tcW w:w="2120" w:type="dxa"/>
            <w:vAlign w:val="bottom"/>
            <w:shd w:val="clear" w:color="auto" w:fill="431C5B"/>
          </w:tcPr>
          <w:p>
            <w:pPr>
              <w:ind w:left="60"/>
              <w:spacing w:after="0"/>
              <w:rPr>
                <w:sz w:val="20"/>
                <w:szCs w:val="20"/>
                <w:color w:val="auto"/>
              </w:rPr>
            </w:pPr>
            <w:r>
              <w:rPr>
                <w:rFonts w:ascii="Arial" w:cs="Arial" w:eastAsia="Arial" w:hAnsi="Arial"/>
                <w:sz w:val="16"/>
                <w:szCs w:val="16"/>
                <w:b w:val="1"/>
                <w:bCs w:val="1"/>
                <w:color w:val="FFFFFF"/>
              </w:rPr>
              <w:t>Technology</w:t>
            </w:r>
          </w:p>
        </w:tc>
        <w:tc>
          <w:tcPr>
            <w:tcW w:w="100" w:type="dxa"/>
            <w:vAlign w:val="bottom"/>
          </w:tcPr>
          <w:p>
            <w:pPr>
              <w:spacing w:after="0"/>
              <w:rPr>
                <w:sz w:val="18"/>
                <w:szCs w:val="18"/>
                <w:color w:val="auto"/>
              </w:rPr>
            </w:pPr>
          </w:p>
        </w:tc>
        <w:tc>
          <w:tcPr>
            <w:tcW w:w="80" w:type="dxa"/>
            <w:vAlign w:val="bottom"/>
            <w:shd w:val="clear" w:color="auto" w:fill="431C5B"/>
          </w:tcPr>
          <w:p>
            <w:pPr>
              <w:spacing w:after="0"/>
              <w:rPr>
                <w:sz w:val="18"/>
                <w:szCs w:val="18"/>
                <w:color w:val="auto"/>
              </w:rPr>
            </w:pPr>
          </w:p>
        </w:tc>
        <w:tc>
          <w:tcPr>
            <w:tcW w:w="640" w:type="dxa"/>
            <w:vAlign w:val="bottom"/>
            <w:vMerge w:val="continue"/>
            <w:shd w:val="clear" w:color="auto" w:fill="431C5B"/>
          </w:tcPr>
          <w:p>
            <w:pPr>
              <w:spacing w:after="0"/>
              <w:rPr>
                <w:sz w:val="18"/>
                <w:szCs w:val="18"/>
                <w:color w:val="auto"/>
              </w:rPr>
            </w:pPr>
          </w:p>
        </w:tc>
        <w:tc>
          <w:tcPr>
            <w:tcW w:w="2140" w:type="dxa"/>
            <w:vAlign w:val="bottom"/>
            <w:shd w:val="clear" w:color="auto" w:fill="431C5B"/>
          </w:tcPr>
          <w:p>
            <w:pPr>
              <w:ind w:left="40"/>
              <w:spacing w:after="0"/>
              <w:rPr>
                <w:sz w:val="20"/>
                <w:szCs w:val="20"/>
                <w:color w:val="auto"/>
              </w:rPr>
            </w:pPr>
            <w:r>
              <w:rPr>
                <w:rFonts w:ascii="Arial" w:cs="Arial" w:eastAsia="Arial" w:hAnsi="Arial"/>
                <w:sz w:val="16"/>
                <w:szCs w:val="16"/>
                <w:b w:val="1"/>
                <w:bCs w:val="1"/>
                <w:color w:val="FFFFFF"/>
              </w:rPr>
              <w:t>Distribution &amp;</w:t>
            </w:r>
          </w:p>
        </w:tc>
        <w:tc>
          <w:tcPr>
            <w:tcW w:w="100" w:type="dxa"/>
            <w:vAlign w:val="bottom"/>
          </w:tcPr>
          <w:p>
            <w:pPr>
              <w:spacing w:after="0"/>
              <w:rPr>
                <w:sz w:val="18"/>
                <w:szCs w:val="18"/>
                <w:color w:val="auto"/>
              </w:rPr>
            </w:pPr>
          </w:p>
        </w:tc>
        <w:tc>
          <w:tcPr>
            <w:tcW w:w="100" w:type="dxa"/>
            <w:vAlign w:val="bottom"/>
            <w:shd w:val="clear" w:color="auto" w:fill="431C5B"/>
          </w:tcPr>
          <w:p>
            <w:pPr>
              <w:spacing w:after="0"/>
              <w:rPr>
                <w:sz w:val="18"/>
                <w:szCs w:val="18"/>
                <w:color w:val="auto"/>
              </w:rPr>
            </w:pPr>
          </w:p>
        </w:tc>
        <w:tc>
          <w:tcPr>
            <w:tcW w:w="620" w:type="dxa"/>
            <w:vAlign w:val="bottom"/>
            <w:vMerge w:val="continue"/>
            <w:shd w:val="clear" w:color="auto" w:fill="431C5B"/>
          </w:tcPr>
          <w:p>
            <w:pPr>
              <w:spacing w:after="0"/>
              <w:rPr>
                <w:sz w:val="18"/>
                <w:szCs w:val="18"/>
                <w:color w:val="auto"/>
              </w:rPr>
            </w:pPr>
          </w:p>
        </w:tc>
        <w:tc>
          <w:tcPr>
            <w:tcW w:w="2140" w:type="dxa"/>
            <w:vAlign w:val="bottom"/>
            <w:shd w:val="clear" w:color="auto" w:fill="431C5B"/>
          </w:tcPr>
          <w:p>
            <w:pPr>
              <w:ind w:left="60"/>
              <w:spacing w:after="0"/>
              <w:rPr>
                <w:sz w:val="20"/>
                <w:szCs w:val="20"/>
                <w:color w:val="auto"/>
              </w:rPr>
            </w:pPr>
            <w:r>
              <w:rPr>
                <w:rFonts w:ascii="Arial" w:cs="Arial" w:eastAsia="Arial" w:hAnsi="Arial"/>
                <w:sz w:val="16"/>
                <w:szCs w:val="16"/>
                <w:b w:val="1"/>
                <w:bCs w:val="1"/>
                <w:color w:val="FFFFFF"/>
              </w:rPr>
              <w:t>Broad Suite Of</w:t>
            </w:r>
          </w:p>
        </w:tc>
        <w:tc>
          <w:tcPr>
            <w:tcW w:w="0" w:type="dxa"/>
            <w:vAlign w:val="bottom"/>
          </w:tcPr>
          <w:p>
            <w:pPr>
              <w:spacing w:after="0"/>
              <w:rPr>
                <w:sz w:val="1"/>
                <w:szCs w:val="1"/>
                <w:color w:val="auto"/>
              </w:rPr>
            </w:pPr>
          </w:p>
        </w:tc>
      </w:tr>
      <w:tr>
        <w:trPr>
          <w:trHeight w:val="203"/>
        </w:trPr>
        <w:tc>
          <w:tcPr>
            <w:tcW w:w="100" w:type="dxa"/>
            <w:vAlign w:val="bottom"/>
            <w:shd w:val="clear" w:color="auto" w:fill="431C5B"/>
          </w:tcPr>
          <w:p>
            <w:pPr>
              <w:spacing w:after="0"/>
              <w:rPr>
                <w:sz w:val="17"/>
                <w:szCs w:val="17"/>
                <w:color w:val="auto"/>
              </w:rPr>
            </w:pPr>
          </w:p>
        </w:tc>
        <w:tc>
          <w:tcPr>
            <w:tcW w:w="620" w:type="dxa"/>
            <w:vAlign w:val="bottom"/>
            <w:shd w:val="clear" w:color="auto" w:fill="431C5B"/>
          </w:tcPr>
          <w:p>
            <w:pPr>
              <w:spacing w:after="0"/>
              <w:rPr>
                <w:sz w:val="17"/>
                <w:szCs w:val="17"/>
                <w:color w:val="auto"/>
              </w:rPr>
            </w:pPr>
          </w:p>
        </w:tc>
        <w:tc>
          <w:tcPr>
            <w:tcW w:w="2120" w:type="dxa"/>
            <w:vAlign w:val="bottom"/>
            <w:shd w:val="clear" w:color="auto" w:fill="431C5B"/>
          </w:tcPr>
          <w:p>
            <w:pPr>
              <w:ind w:left="60"/>
              <w:spacing w:after="0"/>
              <w:rPr>
                <w:sz w:val="20"/>
                <w:szCs w:val="20"/>
                <w:color w:val="auto"/>
              </w:rPr>
            </w:pPr>
            <w:r>
              <w:rPr>
                <w:rFonts w:ascii="Arial" w:cs="Arial" w:eastAsia="Arial" w:hAnsi="Arial"/>
                <w:sz w:val="16"/>
                <w:szCs w:val="16"/>
                <w:b w:val="1"/>
                <w:bCs w:val="1"/>
                <w:color w:val="FFFFFF"/>
              </w:rPr>
              <w:t>Leader</w:t>
            </w:r>
          </w:p>
        </w:tc>
        <w:tc>
          <w:tcPr>
            <w:tcW w:w="100" w:type="dxa"/>
            <w:vAlign w:val="bottom"/>
          </w:tcPr>
          <w:p>
            <w:pPr>
              <w:spacing w:after="0"/>
              <w:rPr>
                <w:sz w:val="17"/>
                <w:szCs w:val="17"/>
                <w:color w:val="auto"/>
              </w:rPr>
            </w:pPr>
          </w:p>
        </w:tc>
        <w:tc>
          <w:tcPr>
            <w:tcW w:w="80" w:type="dxa"/>
            <w:vAlign w:val="bottom"/>
            <w:shd w:val="clear" w:color="auto" w:fill="431C5B"/>
          </w:tcPr>
          <w:p>
            <w:pPr>
              <w:spacing w:after="0"/>
              <w:rPr>
                <w:sz w:val="17"/>
                <w:szCs w:val="17"/>
                <w:color w:val="auto"/>
              </w:rPr>
            </w:pPr>
          </w:p>
        </w:tc>
        <w:tc>
          <w:tcPr>
            <w:tcW w:w="640" w:type="dxa"/>
            <w:vAlign w:val="bottom"/>
            <w:shd w:val="clear" w:color="auto" w:fill="431C5B"/>
          </w:tcPr>
          <w:p>
            <w:pPr>
              <w:spacing w:after="0"/>
              <w:rPr>
                <w:sz w:val="17"/>
                <w:szCs w:val="17"/>
                <w:color w:val="auto"/>
              </w:rPr>
            </w:pPr>
          </w:p>
        </w:tc>
        <w:tc>
          <w:tcPr>
            <w:tcW w:w="2140" w:type="dxa"/>
            <w:vAlign w:val="bottom"/>
            <w:shd w:val="clear" w:color="auto" w:fill="431C5B"/>
          </w:tcPr>
          <w:p>
            <w:pPr>
              <w:ind w:left="40"/>
              <w:spacing w:after="0"/>
              <w:rPr>
                <w:sz w:val="20"/>
                <w:szCs w:val="20"/>
                <w:color w:val="auto"/>
              </w:rPr>
            </w:pPr>
            <w:r>
              <w:rPr>
                <w:rFonts w:ascii="Arial" w:cs="Arial" w:eastAsia="Arial" w:hAnsi="Arial"/>
                <w:sz w:val="16"/>
                <w:szCs w:val="16"/>
                <w:b w:val="1"/>
                <w:bCs w:val="1"/>
                <w:color w:val="FFFFFF"/>
              </w:rPr>
              <w:t>Marquee Set</w:t>
            </w:r>
          </w:p>
        </w:tc>
        <w:tc>
          <w:tcPr>
            <w:tcW w:w="100" w:type="dxa"/>
            <w:vAlign w:val="bottom"/>
          </w:tcPr>
          <w:p>
            <w:pPr>
              <w:spacing w:after="0"/>
              <w:rPr>
                <w:sz w:val="17"/>
                <w:szCs w:val="17"/>
                <w:color w:val="auto"/>
              </w:rPr>
            </w:pPr>
          </w:p>
        </w:tc>
        <w:tc>
          <w:tcPr>
            <w:tcW w:w="100" w:type="dxa"/>
            <w:vAlign w:val="bottom"/>
            <w:shd w:val="clear" w:color="auto" w:fill="431C5B"/>
          </w:tcPr>
          <w:p>
            <w:pPr>
              <w:spacing w:after="0"/>
              <w:rPr>
                <w:sz w:val="17"/>
                <w:szCs w:val="17"/>
                <w:color w:val="auto"/>
              </w:rPr>
            </w:pPr>
          </w:p>
        </w:tc>
        <w:tc>
          <w:tcPr>
            <w:tcW w:w="620" w:type="dxa"/>
            <w:vAlign w:val="bottom"/>
            <w:shd w:val="clear" w:color="auto" w:fill="431C5B"/>
          </w:tcPr>
          <w:p>
            <w:pPr>
              <w:spacing w:after="0"/>
              <w:rPr>
                <w:sz w:val="17"/>
                <w:szCs w:val="17"/>
                <w:color w:val="auto"/>
              </w:rPr>
            </w:pPr>
          </w:p>
        </w:tc>
        <w:tc>
          <w:tcPr>
            <w:tcW w:w="2140" w:type="dxa"/>
            <w:vAlign w:val="bottom"/>
            <w:shd w:val="clear" w:color="auto" w:fill="431C5B"/>
          </w:tcPr>
          <w:p>
            <w:pPr>
              <w:ind w:left="60"/>
              <w:spacing w:after="0"/>
              <w:rPr>
                <w:sz w:val="20"/>
                <w:szCs w:val="20"/>
                <w:color w:val="auto"/>
              </w:rPr>
            </w:pPr>
            <w:r>
              <w:rPr>
                <w:rFonts w:ascii="Arial" w:cs="Arial" w:eastAsia="Arial" w:hAnsi="Arial"/>
                <w:sz w:val="16"/>
                <w:szCs w:val="16"/>
                <w:b w:val="1"/>
                <w:bCs w:val="1"/>
                <w:color w:val="FFFFFF"/>
              </w:rPr>
              <w:t>Best-of-Breed</w:t>
            </w:r>
          </w:p>
        </w:tc>
        <w:tc>
          <w:tcPr>
            <w:tcW w:w="0" w:type="dxa"/>
            <w:vAlign w:val="bottom"/>
          </w:tcPr>
          <w:p>
            <w:pPr>
              <w:spacing w:after="0"/>
              <w:rPr>
                <w:sz w:val="1"/>
                <w:szCs w:val="1"/>
                <w:color w:val="auto"/>
              </w:rPr>
            </w:pPr>
          </w:p>
        </w:tc>
      </w:tr>
      <w:tr>
        <w:trPr>
          <w:trHeight w:val="223"/>
        </w:trPr>
        <w:tc>
          <w:tcPr>
            <w:tcW w:w="100" w:type="dxa"/>
            <w:vAlign w:val="bottom"/>
            <w:shd w:val="clear" w:color="auto" w:fill="431C5B"/>
          </w:tcPr>
          <w:p>
            <w:pPr>
              <w:spacing w:after="0"/>
              <w:rPr>
                <w:sz w:val="19"/>
                <w:szCs w:val="19"/>
                <w:color w:val="auto"/>
              </w:rPr>
            </w:pPr>
          </w:p>
        </w:tc>
        <w:tc>
          <w:tcPr>
            <w:tcW w:w="620" w:type="dxa"/>
            <w:vAlign w:val="bottom"/>
            <w:shd w:val="clear" w:color="auto" w:fill="431C5B"/>
          </w:tcPr>
          <w:p>
            <w:pPr>
              <w:spacing w:after="0"/>
              <w:rPr>
                <w:sz w:val="19"/>
                <w:szCs w:val="19"/>
                <w:color w:val="auto"/>
              </w:rPr>
            </w:pPr>
          </w:p>
        </w:tc>
        <w:tc>
          <w:tcPr>
            <w:tcW w:w="2120" w:type="dxa"/>
            <w:vAlign w:val="bottom"/>
            <w:shd w:val="clear" w:color="auto" w:fill="431C5B"/>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shd w:val="clear" w:color="auto" w:fill="431C5B"/>
          </w:tcPr>
          <w:p>
            <w:pPr>
              <w:spacing w:after="0"/>
              <w:rPr>
                <w:sz w:val="19"/>
                <w:szCs w:val="19"/>
                <w:color w:val="auto"/>
              </w:rPr>
            </w:pPr>
          </w:p>
        </w:tc>
        <w:tc>
          <w:tcPr>
            <w:tcW w:w="640" w:type="dxa"/>
            <w:vAlign w:val="bottom"/>
            <w:shd w:val="clear" w:color="auto" w:fill="431C5B"/>
          </w:tcPr>
          <w:p>
            <w:pPr>
              <w:spacing w:after="0"/>
              <w:rPr>
                <w:sz w:val="19"/>
                <w:szCs w:val="19"/>
                <w:color w:val="auto"/>
              </w:rPr>
            </w:pPr>
          </w:p>
        </w:tc>
        <w:tc>
          <w:tcPr>
            <w:tcW w:w="2140" w:type="dxa"/>
            <w:vAlign w:val="bottom"/>
            <w:shd w:val="clear" w:color="auto" w:fill="431C5B"/>
          </w:tcPr>
          <w:p>
            <w:pPr>
              <w:ind w:left="40"/>
              <w:spacing w:after="0"/>
              <w:rPr>
                <w:sz w:val="20"/>
                <w:szCs w:val="20"/>
                <w:color w:val="auto"/>
              </w:rPr>
            </w:pPr>
            <w:r>
              <w:rPr>
                <w:rFonts w:ascii="Arial" w:cs="Arial" w:eastAsia="Arial" w:hAnsi="Arial"/>
                <w:sz w:val="16"/>
                <w:szCs w:val="16"/>
                <w:b w:val="1"/>
                <w:bCs w:val="1"/>
                <w:color w:val="FFFFFF"/>
              </w:rPr>
              <w:t>Of Clients</w:t>
            </w:r>
          </w:p>
        </w:tc>
        <w:tc>
          <w:tcPr>
            <w:tcW w:w="100" w:type="dxa"/>
            <w:vAlign w:val="bottom"/>
          </w:tcPr>
          <w:p>
            <w:pPr>
              <w:spacing w:after="0"/>
              <w:rPr>
                <w:sz w:val="19"/>
                <w:szCs w:val="19"/>
                <w:color w:val="auto"/>
              </w:rPr>
            </w:pPr>
          </w:p>
        </w:tc>
        <w:tc>
          <w:tcPr>
            <w:tcW w:w="100" w:type="dxa"/>
            <w:vAlign w:val="bottom"/>
            <w:shd w:val="clear" w:color="auto" w:fill="431C5B"/>
          </w:tcPr>
          <w:p>
            <w:pPr>
              <w:spacing w:after="0"/>
              <w:rPr>
                <w:sz w:val="19"/>
                <w:szCs w:val="19"/>
                <w:color w:val="auto"/>
              </w:rPr>
            </w:pPr>
          </w:p>
        </w:tc>
        <w:tc>
          <w:tcPr>
            <w:tcW w:w="620" w:type="dxa"/>
            <w:vAlign w:val="bottom"/>
            <w:shd w:val="clear" w:color="auto" w:fill="431C5B"/>
          </w:tcPr>
          <w:p>
            <w:pPr>
              <w:spacing w:after="0"/>
              <w:rPr>
                <w:sz w:val="19"/>
                <w:szCs w:val="19"/>
                <w:color w:val="auto"/>
              </w:rPr>
            </w:pPr>
          </w:p>
        </w:tc>
        <w:tc>
          <w:tcPr>
            <w:tcW w:w="2140" w:type="dxa"/>
            <w:vAlign w:val="bottom"/>
            <w:shd w:val="clear" w:color="auto" w:fill="431C5B"/>
          </w:tcPr>
          <w:p>
            <w:pPr>
              <w:ind w:left="60"/>
              <w:spacing w:after="0"/>
              <w:rPr>
                <w:sz w:val="20"/>
                <w:szCs w:val="20"/>
                <w:color w:val="auto"/>
              </w:rPr>
            </w:pPr>
            <w:r>
              <w:rPr>
                <w:rFonts w:ascii="Arial" w:cs="Arial" w:eastAsia="Arial" w:hAnsi="Arial"/>
                <w:sz w:val="16"/>
                <w:szCs w:val="16"/>
                <w:b w:val="1"/>
                <w:bCs w:val="1"/>
                <w:color w:val="FFFFFF"/>
              </w:rPr>
              <w:t>Solutions</w:t>
            </w:r>
          </w:p>
        </w:tc>
        <w:tc>
          <w:tcPr>
            <w:tcW w:w="0" w:type="dxa"/>
            <w:vAlign w:val="bottom"/>
          </w:tcPr>
          <w:p>
            <w:pPr>
              <w:spacing w:after="0"/>
              <w:rPr>
                <w:sz w:val="1"/>
                <w:szCs w:val="1"/>
                <w:color w:val="auto"/>
              </w:rPr>
            </w:pPr>
          </w:p>
        </w:tc>
      </w:tr>
      <w:tr>
        <w:trPr>
          <w:trHeight w:val="223"/>
        </w:trPr>
        <w:tc>
          <w:tcPr>
            <w:tcW w:w="100" w:type="dxa"/>
            <w:vAlign w:val="bottom"/>
            <w:shd w:val="clear" w:color="auto" w:fill="431C5B"/>
          </w:tcPr>
          <w:p>
            <w:pPr>
              <w:spacing w:after="0"/>
              <w:rPr>
                <w:sz w:val="19"/>
                <w:szCs w:val="19"/>
                <w:color w:val="auto"/>
              </w:rPr>
            </w:pPr>
          </w:p>
        </w:tc>
        <w:tc>
          <w:tcPr>
            <w:tcW w:w="620" w:type="dxa"/>
            <w:vAlign w:val="bottom"/>
            <w:shd w:val="clear" w:color="auto" w:fill="431C5B"/>
          </w:tcPr>
          <w:p>
            <w:pPr>
              <w:spacing w:after="0"/>
              <w:rPr>
                <w:sz w:val="19"/>
                <w:szCs w:val="19"/>
                <w:color w:val="auto"/>
              </w:rPr>
            </w:pPr>
          </w:p>
        </w:tc>
        <w:tc>
          <w:tcPr>
            <w:tcW w:w="2120" w:type="dxa"/>
            <w:vAlign w:val="bottom"/>
            <w:shd w:val="clear" w:color="auto" w:fill="431C5B"/>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shd w:val="clear" w:color="auto" w:fill="431C5B"/>
          </w:tcPr>
          <w:p>
            <w:pPr>
              <w:spacing w:after="0"/>
              <w:rPr>
                <w:sz w:val="19"/>
                <w:szCs w:val="19"/>
                <w:color w:val="auto"/>
              </w:rPr>
            </w:pPr>
          </w:p>
        </w:tc>
        <w:tc>
          <w:tcPr>
            <w:tcW w:w="640" w:type="dxa"/>
            <w:vAlign w:val="bottom"/>
            <w:shd w:val="clear" w:color="auto" w:fill="431C5B"/>
          </w:tcPr>
          <w:p>
            <w:pPr>
              <w:spacing w:after="0"/>
              <w:rPr>
                <w:sz w:val="19"/>
                <w:szCs w:val="19"/>
                <w:color w:val="auto"/>
              </w:rPr>
            </w:pPr>
          </w:p>
        </w:tc>
        <w:tc>
          <w:tcPr>
            <w:tcW w:w="2140" w:type="dxa"/>
            <w:vAlign w:val="bottom"/>
            <w:shd w:val="clear" w:color="auto" w:fill="431C5B"/>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shd w:val="clear" w:color="auto" w:fill="431C5B"/>
          </w:tcPr>
          <w:p>
            <w:pPr>
              <w:spacing w:after="0"/>
              <w:rPr>
                <w:sz w:val="19"/>
                <w:szCs w:val="19"/>
                <w:color w:val="auto"/>
              </w:rPr>
            </w:pPr>
          </w:p>
        </w:tc>
        <w:tc>
          <w:tcPr>
            <w:tcW w:w="620" w:type="dxa"/>
            <w:vAlign w:val="bottom"/>
            <w:shd w:val="clear" w:color="auto" w:fill="431C5B"/>
          </w:tcPr>
          <w:p>
            <w:pPr>
              <w:spacing w:after="0"/>
              <w:rPr>
                <w:sz w:val="19"/>
                <w:szCs w:val="19"/>
                <w:color w:val="auto"/>
              </w:rPr>
            </w:pPr>
          </w:p>
        </w:tc>
        <w:tc>
          <w:tcPr>
            <w:tcW w:w="2140" w:type="dxa"/>
            <w:vAlign w:val="bottom"/>
            <w:shd w:val="clear" w:color="auto" w:fill="431C5B"/>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right="159" w:hanging="190"/>
        <w:spacing w:after="0" w:line="277"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A Scaled Technology Leader: </w:t>
      </w:r>
      <w:r>
        <w:rPr>
          <w:rFonts w:ascii="Arial" w:cs="Arial" w:eastAsia="Arial" w:hAnsi="Arial"/>
          <w:sz w:val="16"/>
          <w:szCs w:val="16"/>
          <w:color w:val="auto"/>
        </w:rPr>
        <w:t>Our technology underpins the world's financial system, powering the global economy</w:t>
      </w:r>
      <w:r>
        <w:rPr>
          <w:rFonts w:ascii="Arial" w:cs="Arial" w:eastAsia="Arial" w:hAnsi="Arial"/>
          <w:sz w:val="16"/>
          <w:szCs w:val="16"/>
          <w:b w:val="1"/>
          <w:bCs w:val="1"/>
          <w:color w:val="auto"/>
        </w:rPr>
        <w:t xml:space="preserve"> </w:t>
      </w:r>
      <w:r>
        <w:rPr>
          <w:rFonts w:ascii="Arial" w:cs="Arial" w:eastAsia="Arial" w:hAnsi="Arial"/>
          <w:sz w:val="16"/>
          <w:szCs w:val="16"/>
          <w:color w:val="auto"/>
        </w:rPr>
        <w:t>by moving money seamlessly across continents and time zones across the entire money lifecycle. At any given moment, money is either at rest in deposit accounts and ledger systems, in motion in credit and debit accounts, card networks, treasury &amp; risk systems and in real-time or ACH payments, or it's being put to work by asset managers who are trading and lending. After the acquisition of the Issuer Solutions business, FIS is the only fintech provider that operates across the full spectrum of this lifecycle — managing approximately 190 million deposit and wealth management accounts, powering 1.1 billion payments accounts, and processing more than 70 billion transactions annually. Behind every transaction is a complex chain of financial activities that must be done instantly and securely, and at every point our clients need to know those transactions are supported with the highest levels of security, reliability, and regulatory compliance. In an AI-driven marketplace, the moats that matter most are systems of record with deep integration into regulated workflows, decades of accumulated proprietary data, and enterprise-grade governance and auditability — infrastructure that took decades to build and cannot be replicated quickly. That is precisely what FIS’ scaled technology offers.</w:t>
      </w:r>
    </w:p>
    <w:p>
      <w:pPr>
        <w:spacing w:after="0" w:line="33" w:lineRule="exact"/>
        <w:rPr>
          <w:rFonts w:ascii="Arial" w:cs="Arial" w:eastAsia="Arial" w:hAnsi="Arial"/>
          <w:sz w:val="16"/>
          <w:szCs w:val="16"/>
          <w:color w:val="auto"/>
        </w:rPr>
      </w:pPr>
    </w:p>
    <w:p>
      <w:pPr>
        <w:ind w:left="320" w:right="259" w:hanging="190"/>
        <w:spacing w:after="0" w:line="278"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Global Distribution &amp; Marquee Set of Clients: </w:t>
      </w:r>
      <w:r>
        <w:rPr>
          <w:rFonts w:ascii="Arial" w:cs="Arial" w:eastAsia="Arial" w:hAnsi="Arial"/>
          <w:sz w:val="16"/>
          <w:szCs w:val="16"/>
          <w:color w:val="auto"/>
        </w:rPr>
        <w:t>We serve a marquee set of clients across a geographic footprint</w:t>
      </w:r>
      <w:r>
        <w:rPr>
          <w:rFonts w:ascii="Arial" w:cs="Arial" w:eastAsia="Arial" w:hAnsi="Arial"/>
          <w:sz w:val="16"/>
          <w:szCs w:val="16"/>
          <w:b w:val="1"/>
          <w:bCs w:val="1"/>
          <w:color w:val="auto"/>
        </w:rPr>
        <w:t xml:space="preserve"> </w:t>
      </w:r>
      <w:r>
        <w:rPr>
          <w:rFonts w:ascii="Arial" w:cs="Arial" w:eastAsia="Arial" w:hAnsi="Arial"/>
          <w:sz w:val="16"/>
          <w:szCs w:val="16"/>
          <w:color w:val="auto"/>
        </w:rPr>
        <w:t>spanning six continents. Our global reach is a key competitive advantage. Not only do we have scaled technology, we also own and operate our own global distribution network, including a force of over 1,500 sales &amp; relationship managers serving clients in more than 75 countries and 26,000 talented technologists leveraging cloud operations to deliver technology and support our worldwide client base. Our clients range from large banks and financial institutions to community and regional financial institutions and other businesses. That breadth is proving out at the highest levels of the market: with bank M&amp;A up approximately 30% in 2025, FIS was on the winning side of most major transactions, with renewal win rates with large financial institutions exceeding 90%. One large bank CEO publicly cited FIS as the most scalable platform to help consolidate acquisitions and grow their business — a testament to the trust our clients place in our global distribution model and the depth of our client relationships.</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hanging="429"/>
        <w:spacing w:after="0"/>
        <w:tabs>
          <w:tab w:leader="none" w:pos="620" w:val="left"/>
        </w:tabs>
        <w:numPr>
          <w:ilvl w:val="0"/>
          <w:numId w:val="11"/>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1440" w:right="1440" w:bottom="1440" w:gutter="0" w:footer="0" w:header="0"/>
          <w:type w:val="continuous"/>
        </w:sectPr>
      </w:pPr>
    </w:p>
    <w:bookmarkStart w:id="7" w:name="page8"/>
    <w:bookmarkEnd w:id="7"/>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FIS at a Glance</w:t>
      </w:r>
    </w:p>
    <w:p>
      <w:pPr>
        <w:spacing w:after="0" w:line="200" w:lineRule="exact"/>
        <w:rPr>
          <w:sz w:val="20"/>
          <w:szCs w:val="20"/>
          <w:color w:val="auto"/>
        </w:rPr>
      </w:pPr>
    </w:p>
    <w:p>
      <w:pPr>
        <w:spacing w:after="0" w:line="215" w:lineRule="exact"/>
        <w:rPr>
          <w:sz w:val="20"/>
          <w:szCs w:val="20"/>
          <w:color w:val="auto"/>
        </w:rPr>
      </w:pPr>
    </w:p>
    <w:p>
      <w:pPr>
        <w:ind w:left="320" w:right="179" w:hanging="190"/>
        <w:spacing w:after="0" w:line="278"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Delivering a Broad Suite of Best-of-Breed Solutions: </w:t>
      </w:r>
      <w:r>
        <w:rPr>
          <w:rFonts w:ascii="Arial" w:cs="Arial" w:eastAsia="Arial" w:hAnsi="Arial"/>
          <w:sz w:val="16"/>
          <w:szCs w:val="16"/>
          <w:color w:val="auto"/>
        </w:rPr>
        <w:t>Changing market dynamics, particularly in the areas of AI,</w:t>
      </w:r>
      <w:r>
        <w:rPr>
          <w:rFonts w:ascii="Arial" w:cs="Arial" w:eastAsia="Arial" w:hAnsi="Arial"/>
          <w:sz w:val="16"/>
          <w:szCs w:val="16"/>
          <w:b w:val="1"/>
          <w:bCs w:val="1"/>
          <w:color w:val="auto"/>
        </w:rPr>
        <w:t xml:space="preserve"> </w:t>
      </w:r>
      <w:r>
        <w:rPr>
          <w:rFonts w:ascii="Arial" w:cs="Arial" w:eastAsia="Arial" w:hAnsi="Arial"/>
          <w:sz w:val="16"/>
          <w:szCs w:val="16"/>
          <w:color w:val="auto"/>
        </w:rPr>
        <w:t>digital delivery, information security, and regulation, are transforming the way our clients operate, driving incremental demand for our integrated solutions built around our intellectual property. We invest in our solution portfolio through internal software development as well as acquisitions, equity investments, and partnerships that complement and extend our existing capabilities. Our $13.5 billion acquisition of the Issuer Solutions business from Global Payments established FIS as the market leader in end-to-end credit and debit processing; our acquisitions of Amount, Dragonfly, Droit, and Demica further expanded our capabilities in digital account opening, capital markets compliance, and supply chain finance. Beyond acquisitions, we are bringing differentiated innovation to market through Agentic Commerce — the industry's first end-to-end AI transaction platform — alongside Money Movement Hub and Smart Basket. The results are showing up in our numbers: in 2025, recurring ACV sales for our highest-growth solutions delivered Digital up 123%, Payments up 70%, and Lending up 62%, demonstrating the power of a broad, best-of-breed portfolio to capture demand across the money lifecycle.</w:t>
      </w:r>
    </w:p>
    <w:p>
      <w:pPr>
        <w:spacing w:after="0" w:line="21" w:lineRule="exact"/>
        <w:rPr>
          <w:rFonts w:ascii="Arial" w:cs="Arial" w:eastAsia="Arial" w:hAnsi="Arial"/>
          <w:sz w:val="16"/>
          <w:szCs w:val="16"/>
          <w:color w:val="auto"/>
        </w:rPr>
      </w:pPr>
    </w:p>
    <w:p>
      <w:pPr>
        <w:ind w:left="320" w:right="219" w:hanging="190"/>
        <w:spacing w:after="0" w:line="280"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Allocate Our Capital and Resources with Discipline. </w:t>
      </w:r>
      <w:r>
        <w:rPr>
          <w:rFonts w:ascii="Arial" w:cs="Arial" w:eastAsia="Arial" w:hAnsi="Arial"/>
          <w:sz w:val="16"/>
          <w:szCs w:val="16"/>
          <w:color w:val="auto"/>
        </w:rPr>
        <w:t>As we make decisions with respect to our 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ecosystem — building, buying, or partnering — we prioritize the allocation of capital and other resources to the opportunities providing the highest client benefit, growth potential, and shareholder value creation opportunity. We also continually review our portfolio of assets and businesses to assess their fit with our strategy and will, from time to time, decide to wind down or divest businesses to redeploy capital to our areas of strategic focus. Through our Future Forward business improvement program, we have tightened our strategic focus, shifted capital toward higher-value technology, and transformed our cost base — while quadrupling our investment in Data and AI transformation to build the domain-specific capabilities that will define the next era of financial services. The financial discipline behind these choices is reflected in our results: we generated $1.6 billion in free cash flow in 2025 while returning $2.1 billion to shareholders through dividends and share repurchases above our original capital return guidance.</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highlight w:val="white"/>
        </w:rPr>
        <w:t>2025 Performance Highlights</w:t>
      </w:r>
    </w:p>
    <w:p>
      <w:pPr>
        <w:spacing w:after="0" w:line="107" w:lineRule="exact"/>
        <w:rPr>
          <w:sz w:val="20"/>
          <w:szCs w:val="20"/>
          <w:color w:val="auto"/>
        </w:rPr>
      </w:pPr>
    </w:p>
    <w:p>
      <w:pPr>
        <w:ind w:left="140" w:right="239"/>
        <w:spacing w:after="0" w:line="262" w:lineRule="auto"/>
        <w:rPr>
          <w:sz w:val="20"/>
          <w:szCs w:val="20"/>
          <w:color w:val="auto"/>
        </w:rPr>
      </w:pPr>
      <w:r>
        <w:rPr>
          <w:rFonts w:ascii="Arial" w:cs="Arial" w:eastAsia="Arial" w:hAnsi="Arial"/>
          <w:sz w:val="16"/>
          <w:szCs w:val="16"/>
          <w:color w:val="auto"/>
          <w:highlight w:val="white"/>
        </w:rPr>
        <w:t xml:space="preserve">2025 was a year of strong performance for FIS. Our financial results met or exceeded the expectations for the key measures that we communicated to investors at the beginning of the year and we reached </w:t>
      </w:r>
      <w:r>
        <w:rPr>
          <w:rFonts w:ascii="Arial" w:cs="Arial" w:eastAsia="Arial" w:hAnsi="Arial"/>
          <w:sz w:val="16"/>
          <w:szCs w:val="16"/>
          <w:color w:val="auto"/>
        </w:rPr>
        <w:t>agreements to acquire</w:t>
      </w:r>
      <w:r>
        <w:rPr>
          <w:rFonts w:ascii="Arial" w:cs="Arial" w:eastAsia="Arial" w:hAnsi="Arial"/>
          <w:sz w:val="16"/>
          <w:szCs w:val="16"/>
          <w:color w:val="auto"/>
          <w:highlight w:val="white"/>
        </w:rPr>
        <w:t xml:space="preserve"> the FIS Total Issuing</w:t>
      </w:r>
      <w:r>
        <w:rPr>
          <w:rFonts w:ascii="Arial" w:cs="Arial" w:eastAsia="Arial" w:hAnsi="Arial"/>
          <w:sz w:val="21"/>
          <w:szCs w:val="21"/>
          <w:color w:val="auto"/>
          <w:highlight w:val="white"/>
          <w:vertAlign w:val="superscript"/>
        </w:rPr>
        <w:t>TM</w:t>
      </w:r>
      <w:r>
        <w:rPr>
          <w:rFonts w:ascii="Arial" w:cs="Arial" w:eastAsia="Arial" w:hAnsi="Arial"/>
          <w:sz w:val="16"/>
          <w:szCs w:val="16"/>
          <w:color w:val="auto"/>
          <w:highlight w:val="white"/>
        </w:rPr>
        <w:t xml:space="preserve"> Solutions business and to sell our remaining equity interest in Worldpay (these transactions were completed in early 2026), monetizing our noncash-generating Worldpay stake while meaningfully improving the company’s cash flow profile.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300" w:right="1800"/>
        <w:spacing w:after="0" w:line="332" w:lineRule="auto"/>
        <w:rPr>
          <w:sz w:val="20"/>
          <w:szCs w:val="20"/>
          <w:color w:val="auto"/>
        </w:rPr>
      </w:pPr>
      <w:r>
        <w:rPr>
          <w:rFonts w:ascii="Arial" w:cs="Arial" w:eastAsia="Arial" w:hAnsi="Arial"/>
          <w:sz w:val="16"/>
          <w:szCs w:val="16"/>
          <w:b w:val="1"/>
          <w:bCs w:val="1"/>
          <w:color w:val="431C5B"/>
        </w:rPr>
        <w:t>FINANCIAL RESULTS MET OR EXCEEDED GUIDANCE</w:t>
      </w:r>
    </w:p>
    <w:p>
      <w:pPr>
        <w:spacing w:after="0" w:line="193" w:lineRule="exact"/>
        <w:rPr>
          <w:sz w:val="20"/>
          <w:szCs w:val="20"/>
          <w:color w:val="auto"/>
        </w:rPr>
      </w:pPr>
    </w:p>
    <w:p>
      <w:pPr>
        <w:ind w:left="500" w:right="60" w:hanging="201"/>
        <w:spacing w:after="0" w:line="304"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growth of 5%; Adjusted revenue growth* accelerated to 5.8%, above top end of guidance range</w:t>
      </w:r>
    </w:p>
    <w:p>
      <w:pPr>
        <w:spacing w:after="0" w:line="6" w:lineRule="exact"/>
        <w:rPr>
          <w:rFonts w:ascii="Arial" w:cs="Arial" w:eastAsia="Arial" w:hAnsi="Arial"/>
          <w:sz w:val="16"/>
          <w:szCs w:val="16"/>
          <w:color w:val="auto"/>
        </w:rPr>
      </w:pPr>
    </w:p>
    <w:p>
      <w:pPr>
        <w:ind w:left="500" w:right="500" w:hanging="201"/>
        <w:spacing w:after="0" w:line="29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income attributable to FIS from continuing operations of $382 million; Adjusted EBITDA* of $4.331 billion, at top end of guidance range</w:t>
      </w:r>
    </w:p>
    <w:p>
      <w:pPr>
        <w:spacing w:after="0" w:line="16" w:lineRule="exact"/>
        <w:rPr>
          <w:rFonts w:ascii="Arial" w:cs="Arial" w:eastAsia="Arial" w:hAnsi="Arial"/>
          <w:sz w:val="16"/>
          <w:szCs w:val="16"/>
          <w:color w:val="auto"/>
        </w:rPr>
      </w:pPr>
    </w:p>
    <w:p>
      <w:pPr>
        <w:ind w:left="500" w:hanging="201"/>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Diluted earnings per share of $0.73; Adjusted EPS*</w:t>
      </w:r>
    </w:p>
    <w:p>
      <w:pPr>
        <w:spacing w:after="0" w:line="30"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of $5.75 (10.2% growth), at midpoint of guidance range</w:t>
      </w:r>
    </w:p>
    <w:p>
      <w:pPr>
        <w:spacing w:after="0" w:line="73" w:lineRule="exact"/>
        <w:rPr>
          <w:rFonts w:ascii="Arial" w:cs="Arial" w:eastAsia="Arial" w:hAnsi="Arial"/>
          <w:sz w:val="16"/>
          <w:szCs w:val="16"/>
          <w:color w:val="auto"/>
        </w:rPr>
      </w:pPr>
    </w:p>
    <w:p>
      <w:pPr>
        <w:ind w:left="500" w:right="280" w:hanging="201"/>
        <w:spacing w:after="0" w:line="29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cash provided by operating activities was $2.6 billion; Adjusted free cash flow* conversion of 88%, above top end of guidance range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1" w:right="419"/>
        <w:spacing w:after="0" w:line="298" w:lineRule="auto"/>
        <w:rPr>
          <w:sz w:val="20"/>
          <w:szCs w:val="20"/>
          <w:color w:val="auto"/>
        </w:rPr>
      </w:pPr>
      <w:r>
        <w:rPr>
          <w:rFonts w:ascii="Arial" w:cs="Arial" w:eastAsia="Arial" w:hAnsi="Arial"/>
          <w:sz w:val="16"/>
          <w:szCs w:val="16"/>
          <w:b w:val="1"/>
          <w:bCs w:val="1"/>
          <w:color w:val="431C5B"/>
        </w:rPr>
        <w:t>ACQUISITION OF FIS TOTAL ISSUING SOLUTIONS BUSINESS AND SALE OF REMAINING WORLDPAY INTEREST</w:t>
      </w:r>
    </w:p>
    <w:p>
      <w:pPr>
        <w:spacing w:after="0" w:line="111" w:lineRule="exact"/>
        <w:rPr>
          <w:sz w:val="20"/>
          <w:szCs w:val="20"/>
          <w:color w:val="auto"/>
        </w:rPr>
      </w:pPr>
    </w:p>
    <w:p>
      <w:pPr>
        <w:jc w:val="both"/>
        <w:ind w:left="201" w:right="579" w:hanging="201"/>
        <w:spacing w:after="0" w:line="304" w:lineRule="auto"/>
        <w:tabs>
          <w:tab w:leader="none" w:pos="201" w:val="left"/>
        </w:tabs>
        <w:numPr>
          <w:ilvl w:val="0"/>
          <w:numId w:val="14"/>
        </w:numPr>
        <w:rPr>
          <w:rFonts w:ascii="Arial" w:cs="Arial" w:eastAsia="Arial" w:hAnsi="Arial"/>
          <w:sz w:val="16"/>
          <w:szCs w:val="16"/>
          <w:color w:val="auto"/>
          <w:shd w:val="clear" w:color="auto" w:fill="EDFAEC"/>
        </w:rPr>
      </w:pPr>
      <w:r>
        <w:rPr>
          <w:rFonts w:ascii="Arial" w:cs="Arial" w:eastAsia="Arial" w:hAnsi="Arial"/>
          <w:sz w:val="16"/>
          <w:szCs w:val="16"/>
          <w:color w:val="auto"/>
          <w:shd w:val="clear" w:color="auto" w:fill="EDFAEC"/>
        </w:rPr>
        <w:t>Acquisition brings modern product roadmap and a strong presence serving large financial institutions</w:t>
      </w:r>
    </w:p>
    <w:p>
      <w:pPr>
        <w:spacing w:after="0" w:line="6" w:lineRule="exact"/>
        <w:rPr>
          <w:rFonts w:ascii="Arial" w:cs="Arial" w:eastAsia="Arial" w:hAnsi="Arial"/>
          <w:sz w:val="16"/>
          <w:szCs w:val="16"/>
          <w:color w:val="auto"/>
          <w:shd w:val="clear" w:color="auto" w:fill="EDFAEC"/>
        </w:rPr>
      </w:pPr>
    </w:p>
    <w:p>
      <w:pPr>
        <w:ind w:left="201" w:right="559" w:hanging="201"/>
        <w:spacing w:after="0" w:line="289" w:lineRule="auto"/>
        <w:tabs>
          <w:tab w:leader="none" w:pos="201" w:val="left"/>
        </w:tabs>
        <w:numPr>
          <w:ilvl w:val="0"/>
          <w:numId w:val="14"/>
        </w:numPr>
        <w:rPr>
          <w:rFonts w:ascii="Arial" w:cs="Arial" w:eastAsia="Arial" w:hAnsi="Arial"/>
          <w:sz w:val="16"/>
          <w:szCs w:val="16"/>
          <w:color w:val="auto"/>
          <w:shd w:val="clear" w:color="auto" w:fill="EDFAEC"/>
        </w:rPr>
      </w:pPr>
      <w:r>
        <w:rPr>
          <w:rFonts w:ascii="Arial" w:cs="Arial" w:eastAsia="Arial" w:hAnsi="Arial"/>
          <w:sz w:val="16"/>
          <w:szCs w:val="16"/>
          <w:color w:val="auto"/>
          <w:shd w:val="clear" w:color="auto" w:fill="EDFAEC"/>
        </w:rPr>
        <w:t>With the acquisition, FIS now operates the most comprehensive data set in the industry, enabling differentiated insights and unlocking new AI-driven capabilities and platform innovation</w:t>
      </w:r>
    </w:p>
    <w:p>
      <w:pPr>
        <w:spacing w:after="0" w:line="4" w:lineRule="exact"/>
        <w:rPr>
          <w:rFonts w:ascii="Arial" w:cs="Arial" w:eastAsia="Arial" w:hAnsi="Arial"/>
          <w:sz w:val="16"/>
          <w:szCs w:val="16"/>
          <w:color w:val="auto"/>
          <w:shd w:val="clear" w:color="auto" w:fill="EDFAEC"/>
        </w:rPr>
      </w:pPr>
    </w:p>
    <w:p>
      <w:pPr>
        <w:ind w:left="201" w:right="599" w:hanging="201"/>
        <w:spacing w:after="0" w:line="308" w:lineRule="auto"/>
        <w:tabs>
          <w:tab w:leader="none" w:pos="201" w:val="left"/>
        </w:tabs>
        <w:numPr>
          <w:ilvl w:val="0"/>
          <w:numId w:val="14"/>
        </w:numPr>
        <w:rPr>
          <w:rFonts w:ascii="Arial" w:cs="Arial" w:eastAsia="Arial" w:hAnsi="Arial"/>
          <w:sz w:val="16"/>
          <w:szCs w:val="16"/>
          <w:color w:val="auto"/>
          <w:shd w:val="clear" w:color="auto" w:fill="EDFAEC"/>
        </w:rPr>
      </w:pPr>
      <w:r>
        <w:rPr>
          <w:rFonts w:ascii="Arial" w:cs="Arial" w:eastAsia="Arial" w:hAnsi="Arial"/>
          <w:sz w:val="16"/>
          <w:szCs w:val="16"/>
          <w:color w:val="auto"/>
          <w:shd w:val="clear" w:color="auto" w:fill="EDFAEC"/>
        </w:rPr>
        <w:t>Acquisition projected to be slightly accretive in the first year</w:t>
      </w:r>
    </w:p>
    <w:p>
      <w:pPr>
        <w:ind w:left="201" w:right="459" w:hanging="201"/>
        <w:spacing w:after="0" w:line="321" w:lineRule="auto"/>
        <w:tabs>
          <w:tab w:leader="none" w:pos="201" w:val="left"/>
        </w:tabs>
        <w:numPr>
          <w:ilvl w:val="0"/>
          <w:numId w:val="14"/>
        </w:numPr>
        <w:rPr>
          <w:rFonts w:ascii="Arial" w:cs="Arial" w:eastAsia="Arial" w:hAnsi="Arial"/>
          <w:sz w:val="16"/>
          <w:szCs w:val="16"/>
          <w:color w:val="auto"/>
          <w:shd w:val="clear" w:color="auto" w:fill="EDFAEC"/>
        </w:rPr>
      </w:pPr>
      <w:r>
        <w:rPr>
          <w:rFonts w:ascii="Arial" w:cs="Arial" w:eastAsia="Arial" w:hAnsi="Arial"/>
          <w:sz w:val="16"/>
          <w:szCs w:val="16"/>
          <w:color w:val="auto"/>
          <w:shd w:val="clear" w:color="auto" w:fill="EDFAEC"/>
        </w:rPr>
        <w:t>Proceeds from Worldpay minority interest sale were redeployed into cash-generating assets</w:t>
      </w:r>
    </w:p>
    <w:p>
      <w:pPr>
        <w:spacing w:after="0" w:line="200" w:lineRule="exact"/>
        <w:rPr>
          <w:sz w:val="20"/>
          <w:szCs w:val="20"/>
          <w:color w:val="auto"/>
        </w:rPr>
      </w:pPr>
    </w:p>
    <w:p>
      <w:pPr>
        <w:sectPr>
          <w:pgSz w:w="11900" w:h="16838" w:orient="portrait"/>
          <w:cols w:equalWidth="0" w:num="2">
            <w:col w:w="4440" w:space="219"/>
            <w:col w:w="4360"/>
          </w:cols>
          <w:pgMar w:left="1440" w:top="657" w:right="1440" w:bottom="1440" w:gutter="0" w:footer="0" w:header="0"/>
          <w:type w:val="continuous"/>
        </w:sectPr>
      </w:pPr>
    </w:p>
    <w:p>
      <w:pPr>
        <w:spacing w:after="0" w:line="168" w:lineRule="exact"/>
        <w:rPr>
          <w:sz w:val="20"/>
          <w:szCs w:val="20"/>
          <w:color w:val="auto"/>
        </w:rPr>
      </w:pPr>
    </w:p>
    <w:p>
      <w:pPr>
        <w:ind w:left="300" w:right="339"/>
        <w:spacing w:after="0" w:line="273" w:lineRule="auto"/>
        <w:rPr>
          <w:sz w:val="20"/>
          <w:szCs w:val="20"/>
          <w:color w:val="auto"/>
        </w:rPr>
      </w:pPr>
      <w:r>
        <w:rPr>
          <w:rFonts w:ascii="Arial" w:cs="Arial" w:eastAsia="Arial" w:hAnsi="Arial"/>
          <w:sz w:val="13"/>
          <w:szCs w:val="13"/>
          <w:color w:val="auto"/>
        </w:rPr>
        <w:t>*Adjusted Revenue, Adjusted EBITDA and Adjusted EPS are financial measures that are not calculated in accordance with GAAP. Adjusted free cash flow conversion is a ratio calculated as the quotient of two financial measures that are not calculated in accordance with GAAP. Please see Appendix A for reconciliations of these measures to the most directly comparable GAAP measures.</w:t>
      </w:r>
    </w:p>
    <w:p>
      <w:pPr>
        <w:sectPr>
          <w:pgSz w:w="11900" w:h="16838" w:orient="portrait"/>
          <w:cols w:equalWidth="0" w:num="1">
            <w:col w:w="901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960"/>
        <w:spacing w:after="0"/>
        <w:tabs>
          <w:tab w:leader="none" w:pos="87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5</w:t>
      </w:r>
    </w:p>
    <w:p>
      <w:pPr>
        <w:sectPr>
          <w:pgSz w:w="11900" w:h="16838" w:orient="portrait"/>
          <w:cols w:equalWidth="0" w:num="1">
            <w:col w:w="9019"/>
          </w:cols>
          <w:pgMar w:left="1440" w:top="657" w:right="1440" w:bottom="1440" w:gutter="0" w:footer="0" w:header="0"/>
          <w:type w:val="continuous"/>
        </w:sectPr>
      </w:pPr>
    </w:p>
    <w:bookmarkStart w:id="8" w:name="page9"/>
    <w:bookmarkEnd w:id="8"/>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FIS at a Glance</w:t>
      </w:r>
    </w:p>
    <w:p>
      <w:pPr>
        <w:spacing w:after="0" w:line="200" w:lineRule="exact"/>
        <w:rPr>
          <w:sz w:val="20"/>
          <w:szCs w:val="20"/>
          <w:color w:val="auto"/>
        </w:rPr>
      </w:pPr>
    </w:p>
    <w:p>
      <w:pPr>
        <w:spacing w:after="0" w:line="215"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We are proud of the operating and financial performance we continued to achieve and deliver in 2025, in spite of broader industry disruption which has weighed on share price performance. As the system of record at the heart of global financial institutions, we hold the industry’s most comprehensive data set, maintain long-standing and deeply-embedded relationships, and operate a highly specialized regulatory and compliance infrastructure that would be very difficult to replicate — all of which positions us uniquely to deliver differentiated AI solutions.</w:t>
      </w:r>
    </w:p>
    <w:p>
      <w:pPr>
        <w:spacing w:after="0" w:line="134" w:lineRule="exact"/>
        <w:rPr>
          <w:sz w:val="20"/>
          <w:szCs w:val="20"/>
          <w:color w:val="auto"/>
        </w:rPr>
      </w:pPr>
    </w:p>
    <w:p>
      <w:pPr>
        <w:ind w:left="140" w:right="339"/>
        <w:spacing w:after="0" w:line="292" w:lineRule="auto"/>
        <w:rPr>
          <w:sz w:val="20"/>
          <w:szCs w:val="20"/>
          <w:color w:val="auto"/>
        </w:rPr>
      </w:pPr>
      <w:r>
        <w:rPr>
          <w:rFonts w:ascii="Arial" w:cs="Arial" w:eastAsia="Arial" w:hAnsi="Arial"/>
          <w:sz w:val="16"/>
          <w:szCs w:val="16"/>
          <w:color w:val="auto"/>
        </w:rPr>
        <w:t>For more complete information regarding our 2025 performance, please review our Annual Report on Form 10-K for the year ended December 31, 2025 (“2025 Annual Report”) that was filed with the Securities and Exchange Commission (the “SEC”) on February 24, 2026.</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FIS by the Numbers</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569"/>
        </w:trPr>
        <w:tc>
          <w:tcPr>
            <w:tcW w:w="1580" w:type="dxa"/>
            <w:vAlign w:val="bottom"/>
          </w:tcPr>
          <w:p>
            <w:pPr>
              <w:spacing w:after="0"/>
              <w:rPr>
                <w:sz w:val="20"/>
                <w:szCs w:val="20"/>
                <w:color w:val="auto"/>
              </w:rPr>
            </w:pPr>
            <w:r>
              <w:rPr>
                <w:rFonts w:ascii="Arial" w:cs="Arial" w:eastAsia="Arial" w:hAnsi="Arial"/>
                <w:sz w:val="43"/>
                <w:szCs w:val="43"/>
                <w:b w:val="1"/>
                <w:bCs w:val="1"/>
                <w:color w:val="431C5B"/>
              </w:rPr>
              <w:t>14K+</w:t>
            </w:r>
          </w:p>
        </w:tc>
        <w:tc>
          <w:tcPr>
            <w:tcW w:w="1640" w:type="dxa"/>
            <w:vAlign w:val="bottom"/>
          </w:tcPr>
          <w:p>
            <w:pPr>
              <w:ind w:left="160"/>
              <w:spacing w:after="0"/>
              <w:rPr>
                <w:sz w:val="20"/>
                <w:szCs w:val="20"/>
                <w:color w:val="auto"/>
              </w:rPr>
            </w:pPr>
            <w:r>
              <w:rPr>
                <w:rFonts w:ascii="Arial" w:cs="Arial" w:eastAsia="Arial" w:hAnsi="Arial"/>
                <w:sz w:val="43"/>
                <w:szCs w:val="43"/>
                <w:b w:val="1"/>
                <w:bCs w:val="1"/>
                <w:color w:val="431C5B"/>
              </w:rPr>
              <w:t>95%</w:t>
            </w:r>
          </w:p>
        </w:tc>
        <w:tc>
          <w:tcPr>
            <w:tcW w:w="1920" w:type="dxa"/>
            <w:vAlign w:val="bottom"/>
          </w:tcPr>
          <w:p>
            <w:pPr>
              <w:ind w:left="300"/>
              <w:spacing w:after="0"/>
              <w:rPr>
                <w:sz w:val="20"/>
                <w:szCs w:val="20"/>
                <w:color w:val="auto"/>
              </w:rPr>
            </w:pPr>
            <w:r>
              <w:rPr>
                <w:rFonts w:ascii="Arial" w:cs="Arial" w:eastAsia="Arial" w:hAnsi="Arial"/>
                <w:sz w:val="43"/>
                <w:szCs w:val="43"/>
                <w:b w:val="1"/>
                <w:bCs w:val="1"/>
                <w:color w:val="431C5B"/>
              </w:rPr>
              <w:t>$16T+</w:t>
            </w:r>
          </w:p>
        </w:tc>
        <w:tc>
          <w:tcPr>
            <w:tcW w:w="1620" w:type="dxa"/>
            <w:vAlign w:val="bottom"/>
          </w:tcPr>
          <w:p>
            <w:pPr>
              <w:ind w:left="160"/>
              <w:spacing w:after="0"/>
              <w:rPr>
                <w:sz w:val="20"/>
                <w:szCs w:val="20"/>
                <w:color w:val="auto"/>
              </w:rPr>
            </w:pPr>
            <w:r>
              <w:rPr>
                <w:rFonts w:ascii="Arial" w:cs="Arial" w:eastAsia="Arial" w:hAnsi="Arial"/>
                <w:sz w:val="43"/>
                <w:szCs w:val="43"/>
                <w:b w:val="1"/>
                <w:bCs w:val="1"/>
                <w:color w:val="431C5B"/>
              </w:rPr>
              <w:t>75+</w:t>
            </w:r>
          </w:p>
        </w:tc>
        <w:tc>
          <w:tcPr>
            <w:tcW w:w="1480" w:type="dxa"/>
            <w:vAlign w:val="bottom"/>
          </w:tcPr>
          <w:p>
            <w:pPr>
              <w:ind w:left="300"/>
              <w:spacing w:after="0"/>
              <w:rPr>
                <w:sz w:val="20"/>
                <w:szCs w:val="20"/>
                <w:color w:val="auto"/>
              </w:rPr>
            </w:pPr>
            <w:r>
              <w:rPr>
                <w:rFonts w:ascii="Arial" w:cs="Arial" w:eastAsia="Arial" w:hAnsi="Arial"/>
                <w:sz w:val="43"/>
                <w:szCs w:val="43"/>
                <w:b w:val="1"/>
                <w:bCs w:val="1"/>
                <w:color w:val="431C5B"/>
              </w:rPr>
              <w:t>&gt;53K</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20"/>
                <w:szCs w:val="20"/>
                <w:color w:val="auto"/>
              </w:rPr>
            </w:pPr>
            <w:r>
              <w:rPr>
                <w:rFonts w:ascii="Arial" w:cs="Arial" w:eastAsia="Arial" w:hAnsi="Arial"/>
                <w:sz w:val="16"/>
                <w:szCs w:val="16"/>
                <w:color w:val="auto"/>
              </w:rPr>
              <w:t>Clients</w:t>
            </w:r>
          </w:p>
        </w:tc>
        <w:tc>
          <w:tcPr>
            <w:tcW w:w="1640" w:type="dxa"/>
            <w:vAlign w:val="bottom"/>
          </w:tcPr>
          <w:p>
            <w:pPr>
              <w:ind w:left="160"/>
              <w:spacing w:after="0"/>
              <w:rPr>
                <w:sz w:val="20"/>
                <w:szCs w:val="20"/>
                <w:color w:val="auto"/>
              </w:rPr>
            </w:pPr>
            <w:r>
              <w:rPr>
                <w:rFonts w:ascii="Arial" w:cs="Arial" w:eastAsia="Arial" w:hAnsi="Arial"/>
                <w:sz w:val="16"/>
                <w:szCs w:val="16"/>
                <w:color w:val="auto"/>
              </w:rPr>
              <w:t>of the World’s</w:t>
            </w:r>
          </w:p>
        </w:tc>
        <w:tc>
          <w:tcPr>
            <w:tcW w:w="1920" w:type="dxa"/>
            <w:vAlign w:val="bottom"/>
          </w:tcPr>
          <w:p>
            <w:pPr>
              <w:ind w:left="300"/>
              <w:spacing w:after="0"/>
              <w:rPr>
                <w:sz w:val="20"/>
                <w:szCs w:val="20"/>
                <w:color w:val="auto"/>
              </w:rPr>
            </w:pPr>
            <w:r>
              <w:rPr>
                <w:rFonts w:ascii="Arial" w:cs="Arial" w:eastAsia="Arial" w:hAnsi="Arial"/>
                <w:sz w:val="16"/>
                <w:szCs w:val="16"/>
                <w:color w:val="auto"/>
              </w:rPr>
              <w:t>Financial Assets</w:t>
            </w:r>
          </w:p>
        </w:tc>
        <w:tc>
          <w:tcPr>
            <w:tcW w:w="1620" w:type="dxa"/>
            <w:vAlign w:val="bottom"/>
          </w:tcPr>
          <w:p>
            <w:pPr>
              <w:ind w:left="160"/>
              <w:spacing w:after="0"/>
              <w:rPr>
                <w:sz w:val="20"/>
                <w:szCs w:val="20"/>
                <w:color w:val="auto"/>
              </w:rPr>
            </w:pPr>
            <w:r>
              <w:rPr>
                <w:rFonts w:ascii="Arial" w:cs="Arial" w:eastAsia="Arial" w:hAnsi="Arial"/>
                <w:sz w:val="16"/>
                <w:szCs w:val="16"/>
                <w:color w:val="auto"/>
              </w:rPr>
              <w:t>Countries with</w:t>
            </w:r>
          </w:p>
        </w:tc>
        <w:tc>
          <w:tcPr>
            <w:tcW w:w="1480" w:type="dxa"/>
            <w:vAlign w:val="bottom"/>
          </w:tcPr>
          <w:p>
            <w:pPr>
              <w:ind w:left="300"/>
              <w:spacing w:after="0"/>
              <w:rPr>
                <w:sz w:val="20"/>
                <w:szCs w:val="20"/>
                <w:color w:val="auto"/>
              </w:rPr>
            </w:pPr>
            <w:r>
              <w:rPr>
                <w:rFonts w:ascii="Arial" w:cs="Arial" w:eastAsia="Arial" w:hAnsi="Arial"/>
                <w:sz w:val="16"/>
                <w:szCs w:val="16"/>
                <w:color w:val="auto"/>
              </w:rPr>
              <w:t>Employees</w:t>
            </w:r>
          </w:p>
        </w:tc>
        <w:tc>
          <w:tcPr>
            <w:tcW w:w="0" w:type="dxa"/>
            <w:vAlign w:val="bottom"/>
          </w:tcPr>
          <w:p>
            <w:pPr>
              <w:spacing w:after="0"/>
              <w:rPr>
                <w:sz w:val="1"/>
                <w:szCs w:val="1"/>
                <w:color w:val="auto"/>
              </w:rPr>
            </w:pPr>
          </w:p>
        </w:tc>
      </w:tr>
      <w:tr>
        <w:trPr>
          <w:trHeight w:val="215"/>
        </w:trPr>
        <w:tc>
          <w:tcPr>
            <w:tcW w:w="1580" w:type="dxa"/>
            <w:vAlign w:val="bottom"/>
          </w:tcPr>
          <w:p>
            <w:pPr>
              <w:spacing w:after="0"/>
              <w:rPr>
                <w:sz w:val="18"/>
                <w:szCs w:val="18"/>
                <w:color w:val="auto"/>
              </w:rPr>
            </w:pPr>
          </w:p>
        </w:tc>
        <w:tc>
          <w:tcPr>
            <w:tcW w:w="1640" w:type="dxa"/>
            <w:vAlign w:val="bottom"/>
          </w:tcPr>
          <w:p>
            <w:pPr>
              <w:ind w:left="160"/>
              <w:spacing w:after="0"/>
              <w:rPr>
                <w:sz w:val="20"/>
                <w:szCs w:val="20"/>
                <w:color w:val="auto"/>
              </w:rPr>
            </w:pPr>
            <w:r>
              <w:rPr>
                <w:rFonts w:ascii="Arial" w:cs="Arial" w:eastAsia="Arial" w:hAnsi="Arial"/>
                <w:sz w:val="16"/>
                <w:szCs w:val="16"/>
                <w:color w:val="auto"/>
              </w:rPr>
              <w:t>Leading Banks</w:t>
            </w:r>
          </w:p>
        </w:tc>
        <w:tc>
          <w:tcPr>
            <w:tcW w:w="1920" w:type="dxa"/>
            <w:vAlign w:val="bottom"/>
          </w:tcPr>
          <w:p>
            <w:pPr>
              <w:ind w:left="300"/>
              <w:spacing w:after="0"/>
              <w:rPr>
                <w:sz w:val="20"/>
                <w:szCs w:val="20"/>
                <w:color w:val="auto"/>
              </w:rPr>
            </w:pPr>
            <w:r>
              <w:rPr>
                <w:rFonts w:ascii="Arial" w:cs="Arial" w:eastAsia="Arial" w:hAnsi="Arial"/>
                <w:sz w:val="16"/>
                <w:szCs w:val="16"/>
                <w:color w:val="auto"/>
              </w:rPr>
              <w:t>on Platforms</w:t>
            </w:r>
          </w:p>
        </w:tc>
        <w:tc>
          <w:tcPr>
            <w:tcW w:w="1620" w:type="dxa"/>
            <w:vAlign w:val="bottom"/>
          </w:tcPr>
          <w:p>
            <w:pPr>
              <w:ind w:left="160"/>
              <w:spacing w:after="0"/>
              <w:rPr>
                <w:sz w:val="20"/>
                <w:szCs w:val="20"/>
                <w:color w:val="auto"/>
              </w:rPr>
            </w:pPr>
            <w:r>
              <w:rPr>
                <w:rFonts w:ascii="Arial" w:cs="Arial" w:eastAsia="Arial" w:hAnsi="Arial"/>
                <w:sz w:val="16"/>
                <w:szCs w:val="16"/>
                <w:color w:val="auto"/>
              </w:rPr>
              <w:t>client presence</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1580" w:type="dxa"/>
            <w:vAlign w:val="bottom"/>
          </w:tcPr>
          <w:p>
            <w:pPr>
              <w:spacing w:after="0"/>
              <w:rPr>
                <w:sz w:val="20"/>
                <w:szCs w:val="20"/>
                <w:color w:val="auto"/>
              </w:rPr>
            </w:pPr>
            <w:r>
              <w:rPr>
                <w:rFonts w:ascii="Arial" w:cs="Arial" w:eastAsia="Arial" w:hAnsi="Arial"/>
                <w:sz w:val="43"/>
                <w:szCs w:val="43"/>
                <w:b w:val="1"/>
                <w:bCs w:val="1"/>
                <w:color w:val="431C5B"/>
              </w:rPr>
              <w:t>70B+</w:t>
            </w:r>
          </w:p>
        </w:tc>
        <w:tc>
          <w:tcPr>
            <w:tcW w:w="1640" w:type="dxa"/>
            <w:vAlign w:val="bottom"/>
          </w:tcPr>
          <w:p>
            <w:pPr>
              <w:ind w:left="160"/>
              <w:spacing w:after="0"/>
              <w:rPr>
                <w:sz w:val="20"/>
                <w:szCs w:val="20"/>
                <w:color w:val="auto"/>
              </w:rPr>
            </w:pPr>
            <w:r>
              <w:rPr>
                <w:rFonts w:ascii="Arial" w:cs="Arial" w:eastAsia="Arial" w:hAnsi="Arial"/>
                <w:sz w:val="43"/>
                <w:szCs w:val="43"/>
                <w:b w:val="1"/>
                <w:bCs w:val="1"/>
                <w:color w:val="431C5B"/>
              </w:rPr>
              <w:t>$8T</w:t>
            </w:r>
          </w:p>
        </w:tc>
        <w:tc>
          <w:tcPr>
            <w:tcW w:w="1920" w:type="dxa"/>
            <w:vAlign w:val="bottom"/>
          </w:tcPr>
          <w:p>
            <w:pPr>
              <w:ind w:left="300"/>
              <w:spacing w:after="0"/>
              <w:rPr>
                <w:sz w:val="20"/>
                <w:szCs w:val="20"/>
                <w:color w:val="auto"/>
              </w:rPr>
            </w:pPr>
            <w:r>
              <w:rPr>
                <w:rFonts w:ascii="Arial" w:cs="Arial" w:eastAsia="Arial" w:hAnsi="Arial"/>
                <w:sz w:val="43"/>
                <w:szCs w:val="43"/>
                <w:b w:val="1"/>
                <w:bCs w:val="1"/>
                <w:color w:val="431C5B"/>
              </w:rPr>
              <w:t>90%+</w:t>
            </w:r>
          </w:p>
        </w:tc>
        <w:tc>
          <w:tcPr>
            <w:tcW w:w="1620" w:type="dxa"/>
            <w:vAlign w:val="bottom"/>
          </w:tcPr>
          <w:p>
            <w:pPr>
              <w:ind w:left="160"/>
              <w:spacing w:after="0"/>
              <w:rPr>
                <w:sz w:val="20"/>
                <w:szCs w:val="20"/>
                <w:color w:val="auto"/>
              </w:rPr>
            </w:pPr>
            <w:r>
              <w:rPr>
                <w:rFonts w:ascii="Arial" w:cs="Arial" w:eastAsia="Arial" w:hAnsi="Arial"/>
                <w:sz w:val="43"/>
                <w:szCs w:val="43"/>
                <w:b w:val="1"/>
                <w:bCs w:val="1"/>
                <w:color w:val="431C5B"/>
              </w:rPr>
              <w:t>70%</w:t>
            </w:r>
          </w:p>
        </w:tc>
        <w:tc>
          <w:tcPr>
            <w:tcW w:w="1480" w:type="dxa"/>
            <w:vAlign w:val="bottom"/>
          </w:tcPr>
          <w:p>
            <w:pPr>
              <w:ind w:left="300"/>
              <w:spacing w:after="0"/>
              <w:rPr>
                <w:sz w:val="20"/>
                <w:szCs w:val="20"/>
                <w:color w:val="auto"/>
              </w:rPr>
            </w:pPr>
            <w:r>
              <w:rPr>
                <w:rFonts w:ascii="Arial" w:cs="Arial" w:eastAsia="Arial" w:hAnsi="Arial"/>
                <w:sz w:val="43"/>
                <w:szCs w:val="43"/>
                <w:b w:val="1"/>
                <w:bCs w:val="1"/>
                <w:color w:val="431C5B"/>
              </w:rPr>
              <w:t>$50T</w:t>
            </w:r>
          </w:p>
        </w:tc>
        <w:tc>
          <w:tcPr>
            <w:tcW w:w="0" w:type="dxa"/>
            <w:vAlign w:val="bottom"/>
          </w:tcPr>
          <w:p>
            <w:pPr>
              <w:spacing w:after="0"/>
              <w:rPr>
                <w:sz w:val="1"/>
                <w:szCs w:val="1"/>
                <w:color w:val="auto"/>
              </w:rPr>
            </w:pPr>
          </w:p>
        </w:tc>
      </w:tr>
      <w:tr>
        <w:trPr>
          <w:trHeight w:val="205"/>
        </w:trPr>
        <w:tc>
          <w:tcPr>
            <w:tcW w:w="1580" w:type="dxa"/>
            <w:vAlign w:val="bottom"/>
            <w:vMerge w:val="restart"/>
          </w:tcPr>
          <w:p>
            <w:pPr>
              <w:spacing w:after="0"/>
              <w:rPr>
                <w:sz w:val="20"/>
                <w:szCs w:val="20"/>
                <w:color w:val="auto"/>
              </w:rPr>
            </w:pPr>
            <w:r>
              <w:rPr>
                <w:rFonts w:ascii="Arial" w:cs="Arial" w:eastAsia="Arial" w:hAnsi="Arial"/>
                <w:sz w:val="16"/>
                <w:szCs w:val="16"/>
                <w:color w:val="auto"/>
              </w:rPr>
              <w:t>Transactions</w:t>
            </w:r>
          </w:p>
        </w:tc>
        <w:tc>
          <w:tcPr>
            <w:tcW w:w="1640" w:type="dxa"/>
            <w:vAlign w:val="bottom"/>
            <w:vMerge w:val="restart"/>
          </w:tcPr>
          <w:p>
            <w:pPr>
              <w:ind w:left="160"/>
              <w:spacing w:after="0"/>
              <w:rPr>
                <w:sz w:val="20"/>
                <w:szCs w:val="20"/>
                <w:color w:val="auto"/>
              </w:rPr>
            </w:pPr>
            <w:r>
              <w:rPr>
                <w:rFonts w:ascii="Arial" w:cs="Arial" w:eastAsia="Arial" w:hAnsi="Arial"/>
                <w:sz w:val="16"/>
                <w:szCs w:val="16"/>
                <w:color w:val="auto"/>
              </w:rPr>
              <w:t>Assets Serviced</w:t>
            </w:r>
          </w:p>
        </w:tc>
        <w:tc>
          <w:tcPr>
            <w:tcW w:w="1920" w:type="dxa"/>
            <w:vAlign w:val="bottom"/>
            <w:vMerge w:val="restart"/>
          </w:tcPr>
          <w:p>
            <w:pPr>
              <w:ind w:left="300"/>
              <w:spacing w:after="0"/>
              <w:rPr>
                <w:sz w:val="20"/>
                <w:szCs w:val="20"/>
                <w:color w:val="auto"/>
              </w:rPr>
            </w:pPr>
            <w:r>
              <w:rPr>
                <w:rFonts w:ascii="Arial" w:cs="Arial" w:eastAsia="Arial" w:hAnsi="Arial"/>
                <w:sz w:val="16"/>
                <w:szCs w:val="16"/>
                <w:color w:val="auto"/>
              </w:rPr>
              <w:t>Workloads on Cloud</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auto"/>
              </w:rPr>
              <w:t>of Top 100</w:t>
            </w:r>
          </w:p>
        </w:tc>
        <w:tc>
          <w:tcPr>
            <w:tcW w:w="1480" w:type="dxa"/>
            <w:vAlign w:val="bottom"/>
          </w:tcPr>
          <w:p>
            <w:pPr>
              <w:ind w:left="300"/>
              <w:spacing w:after="0" w:line="205" w:lineRule="exact"/>
              <w:rPr>
                <w:sz w:val="20"/>
                <w:szCs w:val="20"/>
                <w:color w:val="auto"/>
              </w:rPr>
            </w:pPr>
            <w:r>
              <w:rPr>
                <w:rFonts w:ascii="Arial" w:cs="Arial" w:eastAsia="Arial" w:hAnsi="Arial"/>
                <w:sz w:val="23"/>
                <w:szCs w:val="23"/>
                <w:b w:val="1"/>
                <w:bCs w:val="1"/>
                <w:color w:val="431C5B"/>
              </w:rPr>
              <w:t>AUM</w:t>
            </w:r>
          </w:p>
        </w:tc>
        <w:tc>
          <w:tcPr>
            <w:tcW w:w="0" w:type="dxa"/>
            <w:vAlign w:val="bottom"/>
          </w:tcPr>
          <w:p>
            <w:pPr>
              <w:spacing w:after="0"/>
              <w:rPr>
                <w:sz w:val="1"/>
                <w:szCs w:val="1"/>
                <w:color w:val="auto"/>
              </w:rPr>
            </w:pPr>
          </w:p>
        </w:tc>
      </w:tr>
      <w:tr>
        <w:trPr>
          <w:trHeight w:val="40"/>
        </w:trPr>
        <w:tc>
          <w:tcPr>
            <w:tcW w:w="158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192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1580" w:type="dxa"/>
            <w:vAlign w:val="bottom"/>
          </w:tcPr>
          <w:p>
            <w:pPr>
              <w:spacing w:after="0"/>
              <w:rPr>
                <w:sz w:val="20"/>
                <w:szCs w:val="20"/>
                <w:color w:val="auto"/>
              </w:rPr>
            </w:pPr>
            <w:r>
              <w:rPr>
                <w:rFonts w:ascii="Arial" w:cs="Arial" w:eastAsia="Arial" w:hAnsi="Arial"/>
                <w:sz w:val="16"/>
                <w:szCs w:val="16"/>
                <w:color w:val="auto"/>
              </w:rPr>
              <w:t>Processed Annually</w:t>
            </w:r>
          </w:p>
        </w:tc>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20" w:type="dxa"/>
            <w:vAlign w:val="bottom"/>
          </w:tcPr>
          <w:p>
            <w:pPr>
              <w:ind w:left="160"/>
              <w:spacing w:after="0"/>
              <w:rPr>
                <w:sz w:val="20"/>
                <w:szCs w:val="20"/>
                <w:color w:val="auto"/>
              </w:rPr>
            </w:pPr>
            <w:r>
              <w:rPr>
                <w:rFonts w:ascii="Arial" w:cs="Arial" w:eastAsia="Arial" w:hAnsi="Arial"/>
                <w:sz w:val="16"/>
                <w:szCs w:val="16"/>
                <w:color w:val="auto"/>
              </w:rPr>
              <w:t>Insurance Firms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ind w:left="300"/>
              <w:spacing w:after="0"/>
              <w:rPr>
                <w:sz w:val="20"/>
                <w:szCs w:val="20"/>
                <w:color w:val="auto"/>
              </w:rPr>
            </w:pPr>
            <w:r>
              <w:rPr>
                <w:rFonts w:ascii="Arial" w:cs="Arial" w:eastAsia="Arial" w:hAnsi="Arial"/>
                <w:sz w:val="16"/>
                <w:szCs w:val="16"/>
                <w:color w:val="auto"/>
              </w:rPr>
              <w:t>of Traditional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Pr>
          <w:p>
            <w:pPr>
              <w:ind w:left="300"/>
              <w:spacing w:after="0"/>
              <w:rPr>
                <w:sz w:val="20"/>
                <w:szCs w:val="20"/>
                <w:color w:val="auto"/>
              </w:rPr>
            </w:pPr>
            <w:r>
              <w:rPr>
                <w:rFonts w:ascii="Arial" w:cs="Arial" w:eastAsia="Arial" w:hAnsi="Arial"/>
                <w:sz w:val="16"/>
                <w:szCs w:val="16"/>
                <w:color w:val="auto"/>
              </w:rPr>
              <w:t>Asset Managers</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Who FIS Serves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980" w:right="200"/>
        <w:spacing w:after="0" w:line="361" w:lineRule="auto"/>
        <w:rPr>
          <w:sz w:val="20"/>
          <w:szCs w:val="20"/>
          <w:color w:val="auto"/>
        </w:rPr>
      </w:pPr>
      <w:r>
        <w:rPr>
          <w:rFonts w:ascii="Arial" w:cs="Arial" w:eastAsia="Arial" w:hAnsi="Arial"/>
          <w:sz w:val="17"/>
          <w:szCs w:val="17"/>
          <w:b w:val="1"/>
          <w:bCs w:val="1"/>
          <w:color w:val="431C5B"/>
        </w:rPr>
        <w:t>Financial Institutions</w:t>
      </w:r>
    </w:p>
    <w:p>
      <w:pPr>
        <w:spacing w:after="0" w:line="200" w:lineRule="exact"/>
        <w:rPr>
          <w:sz w:val="20"/>
          <w:szCs w:val="20"/>
          <w:color w:val="auto"/>
        </w:rPr>
      </w:pPr>
    </w:p>
    <w:p>
      <w:pPr>
        <w:spacing w:after="0" w:line="26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431C5B"/>
        </w:rPr>
        <w:t>FinTech</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431C5B"/>
        </w:rPr>
        <w:t>Governments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431C5B"/>
        </w:rPr>
        <w:t>Insurance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right="120"/>
        <w:spacing w:after="0" w:line="361" w:lineRule="auto"/>
        <w:rPr>
          <w:sz w:val="20"/>
          <w:szCs w:val="20"/>
          <w:color w:val="auto"/>
        </w:rPr>
      </w:pPr>
      <w:r>
        <w:rPr>
          <w:rFonts w:ascii="Arial" w:cs="Arial" w:eastAsia="Arial" w:hAnsi="Arial"/>
          <w:sz w:val="17"/>
          <w:szCs w:val="17"/>
          <w:b w:val="1"/>
          <w:bCs w:val="1"/>
          <w:color w:val="431C5B"/>
        </w:rPr>
        <w:t>Securities &amp;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right="239"/>
        <w:spacing w:after="0" w:line="325" w:lineRule="auto"/>
        <w:rPr>
          <w:sz w:val="20"/>
          <w:szCs w:val="20"/>
          <w:color w:val="auto"/>
        </w:rPr>
      </w:pPr>
      <w:r>
        <w:rPr>
          <w:rFonts w:ascii="Arial" w:cs="Arial" w:eastAsia="Arial" w:hAnsi="Arial"/>
          <w:sz w:val="14"/>
          <w:szCs w:val="14"/>
          <w:color w:val="auto"/>
        </w:rPr>
        <w:t>Financial institutions can build their transformation on the absolute performance of our financial technology solutions, backed by reliable banking and proven payments infrastructure.</w:t>
      </w:r>
    </w:p>
    <w:p>
      <w:pPr>
        <w:spacing w:after="0" w:line="200" w:lineRule="exact"/>
        <w:rPr>
          <w:sz w:val="20"/>
          <w:szCs w:val="20"/>
          <w:color w:val="auto"/>
        </w:rPr>
      </w:pPr>
    </w:p>
    <w:p>
      <w:pPr>
        <w:spacing w:after="0" w:line="295" w:lineRule="exact"/>
        <w:rPr>
          <w:sz w:val="20"/>
          <w:szCs w:val="20"/>
          <w:color w:val="auto"/>
        </w:rPr>
      </w:pPr>
    </w:p>
    <w:p>
      <w:pPr>
        <w:ind w:right="679"/>
        <w:spacing w:after="0" w:line="325" w:lineRule="auto"/>
        <w:rPr>
          <w:sz w:val="20"/>
          <w:szCs w:val="20"/>
          <w:color w:val="auto"/>
        </w:rPr>
      </w:pPr>
      <w:r>
        <w:rPr>
          <w:rFonts w:ascii="Arial" w:cs="Arial" w:eastAsia="Arial" w:hAnsi="Arial"/>
          <w:sz w:val="14"/>
          <w:szCs w:val="14"/>
          <w:color w:val="auto"/>
        </w:rPr>
        <w:t>Our fintech clients have the vision; we enable fintech innovators to build game-changing solutions and platforms to make their mark on the financial landscape.</w:t>
      </w:r>
    </w:p>
    <w:p>
      <w:pPr>
        <w:spacing w:after="0" w:line="200" w:lineRule="exact"/>
        <w:rPr>
          <w:sz w:val="20"/>
          <w:szCs w:val="20"/>
          <w:color w:val="auto"/>
        </w:rPr>
      </w:pPr>
    </w:p>
    <w:p>
      <w:pPr>
        <w:spacing w:after="0" w:line="201" w:lineRule="exact"/>
        <w:rPr>
          <w:sz w:val="20"/>
          <w:szCs w:val="20"/>
          <w:color w:val="auto"/>
        </w:rPr>
      </w:pPr>
    </w:p>
    <w:p>
      <w:pPr>
        <w:ind w:right="259"/>
        <w:spacing w:after="0" w:line="303" w:lineRule="auto"/>
        <w:rPr>
          <w:sz w:val="20"/>
          <w:szCs w:val="20"/>
          <w:color w:val="auto"/>
        </w:rPr>
      </w:pPr>
      <w:r>
        <w:rPr>
          <w:rFonts w:ascii="Arial" w:cs="Arial" w:eastAsia="Arial" w:hAnsi="Arial"/>
          <w:sz w:val="14"/>
          <w:szCs w:val="14"/>
          <w:color w:val="auto"/>
        </w:rPr>
        <w:t>We empower government agencies to defend themselves and vulnerable residents from fraud, find efficiencies with leading-edge infrastructure and build trust with strong data security measures – all provided by FIS.</w:t>
      </w:r>
    </w:p>
    <w:p>
      <w:pPr>
        <w:spacing w:after="0" w:line="200" w:lineRule="exact"/>
        <w:rPr>
          <w:sz w:val="20"/>
          <w:szCs w:val="20"/>
          <w:color w:val="auto"/>
        </w:rPr>
      </w:pPr>
    </w:p>
    <w:p>
      <w:pPr>
        <w:spacing w:after="0" w:line="216" w:lineRule="exact"/>
        <w:rPr>
          <w:sz w:val="20"/>
          <w:szCs w:val="20"/>
          <w:color w:val="auto"/>
        </w:rPr>
      </w:pPr>
    </w:p>
    <w:p>
      <w:pPr>
        <w:ind w:right="699"/>
        <w:spacing w:after="0" w:line="325" w:lineRule="auto"/>
        <w:rPr>
          <w:sz w:val="20"/>
          <w:szCs w:val="20"/>
          <w:color w:val="auto"/>
        </w:rPr>
      </w:pPr>
      <w:r>
        <w:rPr>
          <w:rFonts w:ascii="Arial" w:cs="Arial" w:eastAsia="Arial" w:hAnsi="Arial"/>
          <w:sz w:val="14"/>
          <w:szCs w:val="14"/>
          <w:color w:val="auto"/>
        </w:rPr>
        <w:t>With digital insurance software solutions, FIS helps innovative insurers do more for their policyholders, better protect their business and outpace their competitors.</w:t>
      </w:r>
    </w:p>
    <w:p>
      <w:pPr>
        <w:spacing w:after="0" w:line="200" w:lineRule="exact"/>
        <w:rPr>
          <w:sz w:val="20"/>
          <w:szCs w:val="20"/>
          <w:color w:val="auto"/>
        </w:rPr>
      </w:pPr>
    </w:p>
    <w:p>
      <w:pPr>
        <w:spacing w:after="0" w:line="295" w:lineRule="exact"/>
        <w:rPr>
          <w:sz w:val="20"/>
          <w:szCs w:val="20"/>
          <w:color w:val="auto"/>
        </w:rPr>
      </w:pPr>
    </w:p>
    <w:p>
      <w:pPr>
        <w:ind w:right="179"/>
        <w:spacing w:after="0" w:line="325" w:lineRule="auto"/>
        <w:rPr>
          <w:sz w:val="20"/>
          <w:szCs w:val="20"/>
          <w:color w:val="auto"/>
        </w:rPr>
      </w:pPr>
      <w:r>
        <w:rPr>
          <w:rFonts w:ascii="Arial" w:cs="Arial" w:eastAsia="Arial" w:hAnsi="Arial"/>
          <w:sz w:val="14"/>
          <w:szCs w:val="14"/>
          <w:color w:val="auto"/>
        </w:rPr>
        <w:t>With powerful asset management technology, investment banking technology and broker-dealer software, FIS helps buy- and sell-side firms turn change to their advantage.</w:t>
      </w:r>
    </w:p>
    <w:p>
      <w:pPr>
        <w:spacing w:after="0" w:line="301" w:lineRule="exact"/>
        <w:rPr>
          <w:sz w:val="20"/>
          <w:szCs w:val="20"/>
          <w:color w:val="auto"/>
        </w:rPr>
      </w:pPr>
    </w:p>
    <w:p>
      <w:pPr>
        <w:sectPr>
          <w:pgSz w:w="11900" w:h="16838" w:orient="portrait"/>
          <w:cols w:equalWidth="0" w:num="2">
            <w:col w:w="2140" w:space="600"/>
            <w:col w:w="627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0" w:hanging="429"/>
        <w:spacing w:after="0"/>
        <w:tabs>
          <w:tab w:leader="none" w:pos="620" w:val="left"/>
        </w:tabs>
        <w:numPr>
          <w:ilvl w:val="0"/>
          <w:numId w:val="15"/>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9" w:name="page10"/>
    <w:bookmarkEnd w:id="9"/>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54"/>
          <w:szCs w:val="54"/>
          <w:color w:val="431C5B"/>
        </w:rPr>
        <w:t>Voting Roadmap</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431C5B"/>
        </w:rPr>
        <w:t>PROPOSAL 1</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32"/>
          <w:szCs w:val="32"/>
          <w:color w:val="auto"/>
        </w:rPr>
        <w:t>Election of Directors</w:t>
      </w:r>
    </w:p>
    <w:p>
      <w:pPr>
        <w:spacing w:after="0" w:line="159" w:lineRule="exact"/>
        <w:rPr>
          <w:sz w:val="20"/>
          <w:szCs w:val="20"/>
          <w:color w:val="auto"/>
        </w:rPr>
      </w:pPr>
    </w:p>
    <w:p>
      <w:pPr>
        <w:jc w:val="both"/>
        <w:ind w:left="620" w:right="379"/>
        <w:spacing w:after="0" w:line="292" w:lineRule="auto"/>
        <w:rPr>
          <w:sz w:val="20"/>
          <w:szCs w:val="20"/>
          <w:color w:val="auto"/>
        </w:rPr>
      </w:pPr>
      <w:r>
        <w:rPr>
          <w:rFonts w:ascii="Arial" w:cs="Arial" w:eastAsia="Arial" w:hAnsi="Arial"/>
          <w:sz w:val="16"/>
          <w:szCs w:val="16"/>
          <w:color w:val="auto"/>
        </w:rPr>
        <w:t>Our business is managed under the direction and oversight of our Board. Our proposed nominees for election to the Board consist of eight non-employee directors and one management director. Each member of our Board is elected annually for a one-year term.</w:t>
      </w:r>
    </w:p>
    <w:p>
      <w:pPr>
        <w:spacing w:after="0" w:line="273" w:lineRule="exact"/>
        <w:rPr>
          <w:sz w:val="20"/>
          <w:szCs w:val="20"/>
          <w:color w:val="auto"/>
        </w:rPr>
      </w:pPr>
    </w:p>
    <w:p>
      <w:pPr>
        <w:ind w:left="640"/>
        <w:spacing w:after="0"/>
        <w:tabs>
          <w:tab w:leader="none" w:pos="7540" w:val="left"/>
        </w:tabs>
        <w:rPr>
          <w:sz w:val="20"/>
          <w:szCs w:val="20"/>
          <w:color w:val="auto"/>
        </w:rPr>
      </w:pPr>
      <w:r>
        <w:rPr>
          <w:rFonts w:ascii="Arial" w:cs="Arial" w:eastAsia="Arial" w:hAnsi="Arial"/>
          <w:sz w:val="16"/>
          <w:szCs w:val="16"/>
          <w:color w:val="FFFFFF"/>
        </w:rPr>
        <w:t xml:space="preserve">The Board recommends that the shareholders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each director nominee.</w:t>
      </w:r>
      <w:r>
        <w:rPr>
          <w:sz w:val="20"/>
          <w:szCs w:val="20"/>
          <w:color w:val="auto"/>
        </w:rPr>
        <w:tab/>
      </w:r>
      <w:r>
        <w:rPr>
          <w:rFonts w:ascii="Arial" w:cs="Arial" w:eastAsia="Arial" w:hAnsi="Arial"/>
          <w:sz w:val="16"/>
          <w:szCs w:val="16"/>
          <w:color w:val="auto"/>
        </w:rPr>
        <w:t xml:space="preserve">See page </w:t>
      </w:r>
      <w:r>
        <w:rPr>
          <w:rFonts w:ascii="Arial" w:cs="Arial" w:eastAsia="Arial" w:hAnsi="Arial"/>
          <w:sz w:val="16"/>
          <w:szCs w:val="16"/>
          <w:b w:val="1"/>
          <w:bCs w:val="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431C5B"/>
        </w:rPr>
        <w:t>PROPOSAL 2</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32"/>
          <w:szCs w:val="32"/>
          <w:color w:val="auto"/>
        </w:rPr>
        <w:t>Advisory Vote on Executive Compensation</w:t>
      </w:r>
    </w:p>
    <w:p>
      <w:pPr>
        <w:spacing w:after="0" w:line="159" w:lineRule="exact"/>
        <w:rPr>
          <w:sz w:val="20"/>
          <w:szCs w:val="20"/>
          <w:color w:val="auto"/>
        </w:rPr>
      </w:pPr>
    </w:p>
    <w:p>
      <w:pPr>
        <w:ind w:left="620" w:right="259"/>
        <w:spacing w:after="0" w:line="287" w:lineRule="auto"/>
        <w:rPr>
          <w:sz w:val="20"/>
          <w:szCs w:val="20"/>
          <w:color w:val="auto"/>
        </w:rPr>
      </w:pPr>
      <w:r>
        <w:rPr>
          <w:rFonts w:ascii="Arial" w:cs="Arial" w:eastAsia="Arial" w:hAnsi="Arial"/>
          <w:sz w:val="16"/>
          <w:szCs w:val="16"/>
          <w:color w:val="auto"/>
        </w:rPr>
        <w:t>We hold a non-binding advisory “say on pay” vote every year, pursuant to Section 14A of the Securities Exchange Act of 1934, as amended (the “Exchange Act”). Our executive compensation practices and processes, overseen by the Compensation Committee of our Board, align our executives' compensation with our performance and promote long-term value creation. At our 2025 shareholders’ meeting, this proposal received support from 93.6% of the shares voted.</w:t>
      </w:r>
    </w:p>
    <w:p>
      <w:pPr>
        <w:spacing w:after="0" w:line="277" w:lineRule="exact"/>
        <w:rPr>
          <w:sz w:val="20"/>
          <w:szCs w:val="20"/>
          <w:color w:val="auto"/>
        </w:rPr>
      </w:pPr>
    </w:p>
    <w:p>
      <w:pPr>
        <w:ind w:left="640"/>
        <w:spacing w:after="0"/>
        <w:tabs>
          <w:tab w:leader="none" w:pos="7540" w:val="left"/>
        </w:tabs>
        <w:rPr>
          <w:sz w:val="20"/>
          <w:szCs w:val="20"/>
          <w:color w:val="auto"/>
        </w:rPr>
      </w:pPr>
      <w:r>
        <w:rPr>
          <w:rFonts w:ascii="Arial" w:cs="Arial" w:eastAsia="Arial" w:hAnsi="Arial"/>
          <w:sz w:val="16"/>
          <w:szCs w:val="16"/>
          <w:color w:val="FFFFFF"/>
        </w:rPr>
        <w:t xml:space="preserve">The Board recommends that the shareholders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this proposal.</w:t>
      </w:r>
      <w:r>
        <w:rPr>
          <w:sz w:val="20"/>
          <w:szCs w:val="20"/>
          <w:color w:val="auto"/>
        </w:rPr>
        <w:tab/>
      </w:r>
      <w:r>
        <w:rPr>
          <w:rFonts w:ascii="Arial" w:cs="Arial" w:eastAsia="Arial" w:hAnsi="Arial"/>
          <w:sz w:val="16"/>
          <w:szCs w:val="16"/>
          <w:color w:val="auto"/>
        </w:rPr>
        <w:t xml:space="preserve">See page </w:t>
      </w:r>
      <w:r>
        <w:rPr>
          <w:rFonts w:ascii="Arial" w:cs="Arial" w:eastAsia="Arial" w:hAnsi="Arial"/>
          <w:sz w:val="16"/>
          <w:szCs w:val="16"/>
          <w:b w:val="1"/>
          <w:bCs w:val="1"/>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431C5B"/>
        </w:rPr>
        <w:t>PROPOSAL 3</w:t>
      </w:r>
    </w:p>
    <w:p>
      <w:pPr>
        <w:spacing w:after="0" w:line="63" w:lineRule="exact"/>
        <w:rPr>
          <w:sz w:val="20"/>
          <w:szCs w:val="20"/>
          <w:color w:val="auto"/>
        </w:rPr>
      </w:pPr>
    </w:p>
    <w:p>
      <w:pPr>
        <w:ind w:left="620" w:right="1539"/>
        <w:spacing w:after="0" w:line="295" w:lineRule="auto"/>
        <w:rPr>
          <w:sz w:val="20"/>
          <w:szCs w:val="20"/>
          <w:color w:val="auto"/>
        </w:rPr>
      </w:pPr>
      <w:r>
        <w:rPr>
          <w:rFonts w:ascii="Arial" w:cs="Arial" w:eastAsia="Arial" w:hAnsi="Arial"/>
          <w:sz w:val="32"/>
          <w:szCs w:val="32"/>
          <w:color w:val="auto"/>
        </w:rPr>
        <w:t>Ratification of KPMG LLP as the Company’s Independent Registered Public Accounting Firm</w:t>
      </w:r>
    </w:p>
    <w:p>
      <w:pPr>
        <w:spacing w:after="0" w:line="28" w:lineRule="exact"/>
        <w:rPr>
          <w:sz w:val="20"/>
          <w:szCs w:val="20"/>
          <w:color w:val="auto"/>
        </w:rPr>
      </w:pPr>
    </w:p>
    <w:p>
      <w:pPr>
        <w:ind w:left="620" w:right="299"/>
        <w:spacing w:after="0" w:line="292" w:lineRule="auto"/>
        <w:rPr>
          <w:sz w:val="20"/>
          <w:szCs w:val="20"/>
          <w:color w:val="auto"/>
        </w:rPr>
      </w:pPr>
      <w:r>
        <w:rPr>
          <w:rFonts w:ascii="Arial" w:cs="Arial" w:eastAsia="Arial" w:hAnsi="Arial"/>
          <w:sz w:val="16"/>
          <w:szCs w:val="16"/>
          <w:color w:val="auto"/>
        </w:rPr>
        <w:t>Although shareholder ratification of the appointment of our independent registered public accounting firm is not required by our Bylaws or otherwise, we are submitting the selection of KPMG LLP (“KPMG”) to our shareholders for ratification.</w:t>
      </w:r>
    </w:p>
    <w:p>
      <w:pPr>
        <w:spacing w:after="0" w:line="287" w:lineRule="exact"/>
        <w:rPr>
          <w:sz w:val="20"/>
          <w:szCs w:val="20"/>
          <w:color w:val="auto"/>
        </w:rPr>
      </w:pPr>
    </w:p>
    <w:p>
      <w:pPr>
        <w:ind w:left="640"/>
        <w:spacing w:after="0"/>
        <w:tabs>
          <w:tab w:leader="none" w:pos="7540" w:val="left"/>
        </w:tabs>
        <w:rPr>
          <w:sz w:val="20"/>
          <w:szCs w:val="20"/>
          <w:color w:val="auto"/>
        </w:rPr>
      </w:pPr>
      <w:r>
        <w:rPr>
          <w:rFonts w:ascii="Arial" w:cs="Arial" w:eastAsia="Arial" w:hAnsi="Arial"/>
          <w:sz w:val="16"/>
          <w:szCs w:val="16"/>
          <w:color w:val="FFFFFF"/>
        </w:rPr>
        <w:t xml:space="preserve">The Board recommends that the shareholders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this proposal.</w:t>
      </w:r>
      <w:r>
        <w:rPr>
          <w:sz w:val="20"/>
          <w:szCs w:val="20"/>
          <w:color w:val="auto"/>
        </w:rPr>
        <w:tab/>
      </w:r>
      <w:r>
        <w:rPr>
          <w:rFonts w:ascii="Arial" w:cs="Arial" w:eastAsia="Arial" w:hAnsi="Arial"/>
          <w:sz w:val="16"/>
          <w:szCs w:val="16"/>
          <w:color w:val="auto"/>
        </w:rPr>
        <w:t xml:space="preserve">See page </w:t>
      </w:r>
      <w:r>
        <w:rPr>
          <w:rFonts w:ascii="Arial" w:cs="Arial" w:eastAsia="Arial" w:hAnsi="Arial"/>
          <w:sz w:val="16"/>
          <w:szCs w:val="16"/>
          <w:b w:val="1"/>
          <w:bCs w:val="1"/>
          <w:color w:val="auto"/>
        </w:rPr>
        <w:t>89</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960"/>
        <w:spacing w:after="0"/>
        <w:tabs>
          <w:tab w:leader="none" w:pos="87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7</w:t>
      </w:r>
    </w:p>
    <w:p>
      <w:pPr>
        <w:sectPr>
          <w:pgSz w:w="11900" w:h="16838" w:orient="portrait"/>
          <w:cols w:equalWidth="0" w:num="1">
            <w:col w:w="9019"/>
          </w:cols>
          <w:pgMar w:left="1440" w:top="1440" w:right="1440" w:bottom="1440" w:gutter="0" w:footer="0" w:header="0"/>
          <w:type w:val="continuous"/>
        </w:sectPr>
      </w:pPr>
    </w:p>
    <w:bookmarkStart w:id="10" w:name="page11"/>
    <w:bookmarkEnd w:id="10"/>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54"/>
          <w:szCs w:val="54"/>
          <w:color w:val="431C5B"/>
        </w:rPr>
        <w:t>Proxy Summary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431C5B"/>
        </w:rPr>
        <w:t>2026 Annual Meeting of Shareholders</w:t>
      </w:r>
    </w:p>
    <w:p>
      <w:pPr>
        <w:spacing w:after="0" w:line="105" w:lineRule="exact"/>
        <w:rPr>
          <w:sz w:val="20"/>
          <w:szCs w:val="20"/>
          <w:color w:val="auto"/>
        </w:rPr>
      </w:pPr>
    </w:p>
    <w:p>
      <w:pPr>
        <w:ind w:left="200"/>
        <w:spacing w:after="0"/>
        <w:tabs>
          <w:tab w:leader="none" w:pos="2100" w:val="left"/>
        </w:tabs>
        <w:rPr>
          <w:sz w:val="20"/>
          <w:szCs w:val="20"/>
          <w:color w:val="auto"/>
        </w:rPr>
      </w:pPr>
      <w:r>
        <w:rPr>
          <w:rFonts w:ascii="Arial" w:cs="Arial" w:eastAsia="Arial" w:hAnsi="Arial"/>
          <w:sz w:val="16"/>
          <w:szCs w:val="16"/>
          <w:b w:val="1"/>
          <w:bCs w:val="1"/>
          <w:color w:val="auto"/>
        </w:rPr>
        <w:t>Date and Time:</w:t>
      </w:r>
      <w:r>
        <w:rPr>
          <w:sz w:val="20"/>
          <w:szCs w:val="20"/>
          <w:color w:val="auto"/>
        </w:rPr>
        <w:tab/>
      </w:r>
      <w:r>
        <w:rPr>
          <w:rFonts w:ascii="Arial" w:cs="Arial" w:eastAsia="Arial" w:hAnsi="Arial"/>
          <w:sz w:val="16"/>
          <w:szCs w:val="16"/>
          <w:color w:val="auto"/>
        </w:rPr>
        <w:t>June 10, 2026, at 10:00 a.m. Eastern Time</w:t>
      </w:r>
    </w:p>
    <w:p>
      <w:pPr>
        <w:spacing w:after="0" w:line="46" w:lineRule="exact"/>
        <w:rPr>
          <w:sz w:val="20"/>
          <w:szCs w:val="20"/>
          <w:color w:val="auto"/>
        </w:rPr>
      </w:pPr>
    </w:p>
    <w:p>
      <w:pPr>
        <w:ind w:left="200"/>
        <w:spacing w:after="0"/>
        <w:tabs>
          <w:tab w:leader="none" w:pos="2100" w:val="left"/>
        </w:tabs>
        <w:rPr>
          <w:sz w:val="20"/>
          <w:szCs w:val="20"/>
          <w:color w:val="auto"/>
        </w:rPr>
      </w:pPr>
      <w:r>
        <w:rPr>
          <w:rFonts w:ascii="Arial" w:cs="Arial" w:eastAsia="Arial" w:hAnsi="Arial"/>
          <w:sz w:val="16"/>
          <w:szCs w:val="16"/>
          <w:b w:val="1"/>
          <w:bCs w:val="1"/>
          <w:color w:val="auto"/>
        </w:rPr>
        <w:t>Virtual Meeting Site:</w:t>
      </w:r>
      <w:r>
        <w:rPr>
          <w:sz w:val="20"/>
          <w:szCs w:val="20"/>
          <w:color w:val="auto"/>
        </w:rPr>
        <w:tab/>
      </w:r>
      <w:r>
        <w:rPr>
          <w:rFonts w:ascii="Arial" w:cs="Arial" w:eastAsia="Arial" w:hAnsi="Arial"/>
          <w:sz w:val="16"/>
          <w:szCs w:val="16"/>
          <w:b w:val="1"/>
          <w:bCs w:val="1"/>
          <w:color w:val="431C5B"/>
        </w:rPr>
        <w:t>www.virtualshareholdermeeting.com/FIS2026</w:t>
      </w:r>
    </w:p>
    <w:p>
      <w:pPr>
        <w:spacing w:after="0" w:line="73" w:lineRule="exact"/>
        <w:rPr>
          <w:sz w:val="20"/>
          <w:szCs w:val="20"/>
          <w:color w:val="auto"/>
        </w:rPr>
      </w:pPr>
    </w:p>
    <w:p>
      <w:pPr>
        <w:ind w:left="2120" w:right="259"/>
        <w:spacing w:after="0" w:line="272" w:lineRule="auto"/>
        <w:rPr>
          <w:sz w:val="20"/>
          <w:szCs w:val="20"/>
          <w:color w:val="auto"/>
        </w:rPr>
      </w:pPr>
      <w:r>
        <w:rPr>
          <w:rFonts w:ascii="Arial" w:cs="Arial" w:eastAsia="Arial" w:hAnsi="Arial"/>
          <w:sz w:val="16"/>
          <w:szCs w:val="16"/>
          <w:color w:val="auto"/>
        </w:rPr>
        <w:t>Our 2026 annual meeting of shareholders will be held in a virtual meeting format only with no physical location. Shareholders who held shares as of the record date may attend the</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 xml:space="preserve">meeting by logging in at </w:t>
      </w:r>
      <w:r>
        <w:rPr>
          <w:rFonts w:ascii="Arial" w:cs="Arial" w:eastAsia="Arial" w:hAnsi="Arial"/>
          <w:sz w:val="16"/>
          <w:szCs w:val="16"/>
          <w:b w:val="1"/>
          <w:bCs w:val="1"/>
          <w:color w:val="431C5B"/>
        </w:rPr>
        <w:t>www.virtualshareholdermeeting.com/FIS2026</w:t>
      </w:r>
      <w:r>
        <w:rPr>
          <w:rFonts w:ascii="Arial" w:cs="Arial" w:eastAsia="Arial" w:hAnsi="Arial"/>
          <w:sz w:val="16"/>
          <w:szCs w:val="16"/>
          <w:color w:val="auto"/>
        </w:rPr>
        <w:t xml:space="preserve"> using the 16-digit</w:t>
      </w:r>
    </w:p>
    <w:p>
      <w:pPr>
        <w:spacing w:after="0" w:line="35"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control number included on the proxy card or notice and access card.</w:t>
      </w:r>
    </w:p>
    <w:p>
      <w:pPr>
        <w:spacing w:after="0" w:line="111" w:lineRule="exact"/>
        <w:rPr>
          <w:sz w:val="20"/>
          <w:szCs w:val="20"/>
          <w:color w:val="auto"/>
        </w:rPr>
      </w:pPr>
    </w:p>
    <w:p>
      <w:pPr>
        <w:ind w:left="200"/>
        <w:spacing w:after="0"/>
        <w:tabs>
          <w:tab w:leader="none" w:pos="2100" w:val="left"/>
        </w:tabs>
        <w:rPr>
          <w:sz w:val="20"/>
          <w:szCs w:val="20"/>
          <w:color w:val="auto"/>
        </w:rPr>
      </w:pP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6"/>
          <w:szCs w:val="16"/>
          <w:color w:val="auto"/>
        </w:rPr>
        <w:t>April 13, 2026</w:t>
      </w:r>
    </w:p>
    <w:p>
      <w:pPr>
        <w:spacing w:after="0" w:line="36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431C5B"/>
        </w:rPr>
        <w:t>PROPOSAL 1</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36"/>
          <w:szCs w:val="36"/>
          <w:color w:val="auto"/>
        </w:rPr>
        <w:t>Election of Directors</w:t>
      </w: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7540" w:val="left"/>
        </w:tabs>
        <w:rPr>
          <w:sz w:val="20"/>
          <w:szCs w:val="20"/>
          <w:color w:val="auto"/>
        </w:rPr>
      </w:pPr>
      <w:r>
        <w:rPr>
          <w:rFonts w:ascii="Arial" w:cs="Arial" w:eastAsia="Arial" w:hAnsi="Arial"/>
          <w:sz w:val="16"/>
          <w:szCs w:val="16"/>
          <w:color w:val="FFFFFF"/>
        </w:rPr>
        <w:t xml:space="preserve">The Board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each director nominee.</w:t>
      </w:r>
      <w:r>
        <w:rPr>
          <w:sz w:val="20"/>
          <w:szCs w:val="20"/>
          <w:color w:val="auto"/>
        </w:rPr>
        <w:tab/>
      </w:r>
      <w:r>
        <w:rPr>
          <w:rFonts w:ascii="Arial" w:cs="Arial" w:eastAsia="Arial" w:hAnsi="Arial"/>
          <w:sz w:val="16"/>
          <w:szCs w:val="16"/>
          <w:color w:val="auto"/>
        </w:rPr>
        <w:t xml:space="preserve">See page </w:t>
      </w:r>
      <w:r>
        <w:rPr>
          <w:rFonts w:ascii="Arial" w:cs="Arial" w:eastAsia="Arial" w:hAnsi="Arial"/>
          <w:sz w:val="16"/>
          <w:szCs w:val="16"/>
          <w:b w:val="1"/>
          <w:bCs w:val="1"/>
          <w:color w:val="auto"/>
        </w:rPr>
        <w:t>17</w:t>
      </w: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Director Nominee Attributes</w:t>
      </w:r>
    </w:p>
    <w:p>
      <w:pPr>
        <w:spacing w:after="0" w:line="215" w:lineRule="exact"/>
        <w:rPr>
          <w:sz w:val="20"/>
          <w:szCs w:val="20"/>
          <w:color w:val="auto"/>
        </w:rPr>
      </w:pPr>
    </w:p>
    <w:p>
      <w:pPr>
        <w:ind w:left="6420"/>
        <w:spacing w:after="0"/>
        <w:rPr>
          <w:sz w:val="20"/>
          <w:szCs w:val="20"/>
          <w:color w:val="auto"/>
        </w:rPr>
      </w:pPr>
      <w:r>
        <w:rPr>
          <w:rFonts w:ascii="Arial" w:cs="Arial" w:eastAsia="Arial" w:hAnsi="Arial"/>
          <w:sz w:val="16"/>
          <w:szCs w:val="16"/>
          <w:b w:val="1"/>
          <w:bCs w:val="1"/>
          <w:color w:val="431C5B"/>
        </w:rPr>
        <w:t>BOARD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50"/>
          <w:szCs w:val="50"/>
          <w:b w:val="1"/>
          <w:bCs w:val="1"/>
          <w:color w:val="431C5B"/>
        </w:rPr>
        <w:t xml:space="preserve">5 </w:t>
      </w:r>
      <w:r>
        <w:rPr>
          <w:rFonts w:ascii="Arial" w:cs="Arial" w:eastAsia="Arial" w:hAnsi="Arial"/>
          <w:sz w:val="16"/>
          <w:szCs w:val="16"/>
          <w:b w:val="1"/>
          <w:bCs w:val="1"/>
          <w:color w:val="431C5B"/>
        </w:rPr>
        <w:t>of our director nominees have joined the Board in the</w:t>
      </w:r>
      <w:r>
        <w:rPr>
          <w:rFonts w:ascii="Arial" w:cs="Arial" w:eastAsia="Arial" w:hAnsi="Arial"/>
          <w:sz w:val="50"/>
          <w:szCs w:val="50"/>
          <w:b w:val="1"/>
          <w:bCs w:val="1"/>
          <w:color w:val="431C5B"/>
        </w:rPr>
        <w:t xml:space="preserve"> </w:t>
      </w:r>
      <w:r>
        <w:rPr>
          <w:rFonts w:ascii="Arial" w:cs="Arial" w:eastAsia="Arial" w:hAnsi="Arial"/>
          <w:sz w:val="16"/>
          <w:szCs w:val="16"/>
          <w:b w:val="1"/>
          <w:bCs w:val="1"/>
          <w:color w:val="000000"/>
        </w:rPr>
        <w:t>past 5 years</w:t>
      </w:r>
    </w:p>
    <w:p>
      <w:pPr>
        <w:spacing w:after="0" w:line="324" w:lineRule="exact"/>
        <w:rPr>
          <w:sz w:val="20"/>
          <w:szCs w:val="20"/>
          <w:color w:val="auto"/>
        </w:rPr>
      </w:pPr>
    </w:p>
    <w:p>
      <w:pPr>
        <w:ind w:left="140" w:right="279"/>
        <w:spacing w:after="0" w:line="289" w:lineRule="auto"/>
        <w:rPr>
          <w:sz w:val="20"/>
          <w:szCs w:val="20"/>
          <w:color w:val="auto"/>
        </w:rPr>
      </w:pPr>
      <w:r>
        <w:rPr>
          <w:rFonts w:ascii="Arial" w:cs="Arial" w:eastAsia="Arial" w:hAnsi="Arial"/>
          <w:sz w:val="16"/>
          <w:szCs w:val="16"/>
          <w:color w:val="auto"/>
        </w:rPr>
        <w:t>FIS maintains a rigorous director selection and evaluation process which supports the Company’s long-term growth strategy and which factors in diversity of experience, skills and background. Although the Board remains confident in its current composition, it continually seeks to identify new director candidates that enhance the skills and experience of the Board as a whole and support the Company’s evolving business strategy.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hanging="429"/>
        <w:spacing w:after="0"/>
        <w:tabs>
          <w:tab w:leader="none" w:pos="620" w:val="left"/>
        </w:tabs>
        <w:numPr>
          <w:ilvl w:val="0"/>
          <w:numId w:val="16"/>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1440" w:right="1440" w:bottom="1440" w:gutter="0" w:footer="0" w:header="0"/>
          <w:type w:val="continuous"/>
        </w:sectPr>
      </w:pPr>
    </w:p>
    <w:bookmarkStart w:id="11" w:name="page12"/>
    <w:bookmarkEnd w:id="11"/>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Proxy Summary</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Board Expertise &amp; Experience</w:t>
      </w:r>
    </w:p>
    <w:p>
      <w:pPr>
        <w:spacing w:after="0" w:line="107" w:lineRule="exact"/>
        <w:rPr>
          <w:sz w:val="20"/>
          <w:szCs w:val="20"/>
          <w:color w:val="auto"/>
        </w:rPr>
      </w:pPr>
    </w:p>
    <w:p>
      <w:pPr>
        <w:ind w:left="140" w:right="419"/>
        <w:spacing w:after="0" w:line="304" w:lineRule="auto"/>
        <w:rPr>
          <w:sz w:val="20"/>
          <w:szCs w:val="20"/>
          <w:color w:val="auto"/>
        </w:rPr>
      </w:pPr>
      <w:r>
        <w:rPr>
          <w:rFonts w:ascii="Arial" w:cs="Arial" w:eastAsia="Arial" w:hAnsi="Arial"/>
          <w:sz w:val="16"/>
          <w:szCs w:val="16"/>
          <w:color w:val="auto"/>
        </w:rPr>
        <w:t>The collective skills and experience of our director nominees are broad and support each of the pillars of our long-term growth strategy. The following lists identify those competencies and skills critical to the success of FIS.</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Core Competencies</w:t>
      </w:r>
    </w:p>
    <w:p>
      <w:pPr>
        <w:spacing w:after="0" w:line="191" w:lineRule="exact"/>
        <w:rPr>
          <w:sz w:val="20"/>
          <w:szCs w:val="20"/>
          <w:color w:val="auto"/>
        </w:rPr>
      </w:pPr>
    </w:p>
    <w:tbl>
      <w:tblPr>
        <w:tblLayout w:type="fixed"/>
        <w:tblInd w:w="1080" w:type="dxa"/>
        <w:tblCellMar>
          <w:top w:w="0" w:type="dxa"/>
          <w:left w:w="0" w:type="dxa"/>
          <w:bottom w:w="0" w:type="dxa"/>
          <w:right w:w="0" w:type="dxa"/>
        </w:tblCellMar>
      </w:tblPr>
      <w:tr>
        <w:trPr>
          <w:trHeight w:val="243"/>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431C5B"/>
              </w:rPr>
              <w:t>EXECUTIVE LEADERSHIP</w:t>
            </w:r>
          </w:p>
        </w:tc>
        <w:tc>
          <w:tcPr>
            <w:tcW w:w="4240" w:type="dxa"/>
            <w:vAlign w:val="bottom"/>
          </w:tcPr>
          <w:p>
            <w:pPr>
              <w:ind w:left="1140"/>
              <w:spacing w:after="0"/>
              <w:rPr>
                <w:sz w:val="20"/>
                <w:szCs w:val="20"/>
                <w:color w:val="auto"/>
              </w:rPr>
            </w:pPr>
            <w:r>
              <w:rPr>
                <w:rFonts w:ascii="Arial" w:cs="Arial" w:eastAsia="Arial" w:hAnsi="Arial"/>
                <w:sz w:val="18"/>
                <w:szCs w:val="18"/>
                <w:b w:val="1"/>
                <w:bCs w:val="1"/>
                <w:color w:val="431C5B"/>
                <w:w w:val="99"/>
              </w:rPr>
              <w:t>ENTERPRISE RISK MANAGEMENT /</w:t>
            </w:r>
          </w:p>
        </w:tc>
        <w:tc>
          <w:tcPr>
            <w:tcW w:w="0" w:type="dxa"/>
            <w:vAlign w:val="bottom"/>
          </w:tcPr>
          <w:p>
            <w:pPr>
              <w:spacing w:after="0"/>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4240" w:type="dxa"/>
            <w:vAlign w:val="bottom"/>
            <w:vMerge w:val="restart"/>
          </w:tcPr>
          <w:p>
            <w:pPr>
              <w:ind w:left="1140"/>
              <w:spacing w:after="0"/>
              <w:rPr>
                <w:sz w:val="20"/>
                <w:szCs w:val="20"/>
                <w:color w:val="auto"/>
              </w:rPr>
            </w:pPr>
            <w:r>
              <w:rPr>
                <w:rFonts w:ascii="Arial" w:cs="Arial" w:eastAsia="Arial" w:hAnsi="Arial"/>
                <w:sz w:val="18"/>
                <w:szCs w:val="18"/>
                <w:b w:val="1"/>
                <w:bCs w:val="1"/>
                <w:color w:val="431C5B"/>
              </w:rPr>
              <w:t>INFORMATION SECURITY</w:t>
            </w: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80" w:type="dxa"/>
        <w:tblCellMar>
          <w:top w:w="0" w:type="dxa"/>
          <w:left w:w="0" w:type="dxa"/>
          <w:bottom w:w="0" w:type="dxa"/>
          <w:right w:w="0" w:type="dxa"/>
        </w:tblCellMar>
      </w:tblPr>
      <w:tr>
        <w:trPr>
          <w:trHeight w:val="243"/>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431C5B"/>
              </w:rPr>
              <w:t>GLOBAL BUSINESS EXPERIENCE</w:t>
            </w:r>
          </w:p>
        </w:tc>
        <w:tc>
          <w:tcPr>
            <w:tcW w:w="3580" w:type="dxa"/>
            <w:vAlign w:val="bottom"/>
          </w:tcPr>
          <w:p>
            <w:pPr>
              <w:ind w:left="780"/>
              <w:spacing w:after="0"/>
              <w:rPr>
                <w:sz w:val="20"/>
                <w:szCs w:val="20"/>
                <w:color w:val="auto"/>
              </w:rPr>
            </w:pPr>
            <w:r>
              <w:rPr>
                <w:rFonts w:ascii="Arial" w:cs="Arial" w:eastAsia="Arial" w:hAnsi="Arial"/>
                <w:sz w:val="18"/>
                <w:szCs w:val="18"/>
                <w:b w:val="1"/>
                <w:bCs w:val="1"/>
                <w:color w:val="431C5B"/>
                <w:w w:val="99"/>
              </w:rPr>
              <w:t>MERGERS AND ACQUISITIONS /</w:t>
            </w:r>
          </w:p>
        </w:tc>
        <w:tc>
          <w:tcPr>
            <w:tcW w:w="0" w:type="dxa"/>
            <w:vAlign w:val="bottom"/>
          </w:tcPr>
          <w:p>
            <w:pPr>
              <w:spacing w:after="0"/>
              <w:rPr>
                <w:sz w:val="1"/>
                <w:szCs w:val="1"/>
                <w:color w:val="auto"/>
              </w:rPr>
            </w:pPr>
          </w:p>
        </w:tc>
      </w:tr>
      <w:tr>
        <w:trPr>
          <w:trHeight w:val="139"/>
        </w:trPr>
        <w:tc>
          <w:tcPr>
            <w:tcW w:w="3740" w:type="dxa"/>
            <w:vAlign w:val="bottom"/>
            <w:vMerge w:val="continue"/>
          </w:tcPr>
          <w:p>
            <w:pPr>
              <w:spacing w:after="0"/>
              <w:rPr>
                <w:sz w:val="12"/>
                <w:szCs w:val="12"/>
                <w:color w:val="auto"/>
              </w:rPr>
            </w:pPr>
          </w:p>
        </w:tc>
        <w:tc>
          <w:tcPr>
            <w:tcW w:w="3580" w:type="dxa"/>
            <w:vAlign w:val="bottom"/>
            <w:vMerge w:val="restart"/>
          </w:tcPr>
          <w:p>
            <w:pPr>
              <w:ind w:left="780"/>
              <w:spacing w:after="0"/>
              <w:rPr>
                <w:sz w:val="20"/>
                <w:szCs w:val="20"/>
                <w:color w:val="auto"/>
              </w:rPr>
            </w:pPr>
            <w:r>
              <w:rPr>
                <w:rFonts w:ascii="Arial" w:cs="Arial" w:eastAsia="Arial" w:hAnsi="Arial"/>
                <w:sz w:val="18"/>
                <w:szCs w:val="18"/>
                <w:b w:val="1"/>
                <w:bCs w:val="1"/>
                <w:color w:val="431C5B"/>
              </w:rPr>
              <w:t>CAPITAL ALLOCATION</w:t>
            </w: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80"/>
        <w:spacing w:after="0"/>
        <w:tabs>
          <w:tab w:leader="none" w:pos="5580" w:val="left"/>
        </w:tabs>
        <w:rPr>
          <w:sz w:val="20"/>
          <w:szCs w:val="20"/>
          <w:color w:val="auto"/>
        </w:rPr>
      </w:pPr>
      <w:r>
        <w:rPr>
          <w:rFonts w:ascii="Arial" w:cs="Arial" w:eastAsia="Arial" w:hAnsi="Arial"/>
          <w:sz w:val="18"/>
          <w:szCs w:val="18"/>
          <w:b w:val="1"/>
          <w:bCs w:val="1"/>
          <w:color w:val="431C5B"/>
        </w:rPr>
        <w:t>FINANCIAL EXPERTISE</w:t>
      </w:r>
      <w:r>
        <w:rPr>
          <w:sz w:val="20"/>
          <w:szCs w:val="20"/>
          <w:color w:val="auto"/>
        </w:rPr>
        <w:tab/>
      </w:r>
      <w:r>
        <w:rPr>
          <w:rFonts w:ascii="Arial" w:cs="Arial" w:eastAsia="Arial" w:hAnsi="Arial"/>
          <w:sz w:val="17"/>
          <w:szCs w:val="17"/>
          <w:b w:val="1"/>
          <w:bCs w:val="1"/>
          <w:color w:val="431C5B"/>
        </w:rPr>
        <w:t>GOVERNMENT AND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80" w:type="dxa"/>
        <w:tblCellMar>
          <w:top w:w="0" w:type="dxa"/>
          <w:left w:w="0" w:type="dxa"/>
          <w:bottom w:w="0" w:type="dxa"/>
          <w:right w:w="0" w:type="dxa"/>
        </w:tblCellMar>
      </w:tblPr>
      <w:tr>
        <w:trPr>
          <w:trHeight w:val="229"/>
        </w:trPr>
        <w:tc>
          <w:tcPr>
            <w:tcW w:w="3200" w:type="dxa"/>
            <w:vAlign w:val="bottom"/>
          </w:tcPr>
          <w:p>
            <w:pPr>
              <w:spacing w:after="0"/>
              <w:rPr>
                <w:sz w:val="20"/>
                <w:szCs w:val="20"/>
                <w:color w:val="auto"/>
              </w:rPr>
            </w:pPr>
            <w:r>
              <w:rPr>
                <w:rFonts w:ascii="Arial" w:cs="Arial" w:eastAsia="Arial" w:hAnsi="Arial"/>
                <w:sz w:val="18"/>
                <w:szCs w:val="18"/>
                <w:b w:val="1"/>
                <w:bCs w:val="1"/>
                <w:color w:val="431C5B"/>
              </w:rPr>
              <w:t>PUBLIC COMPANY</w:t>
            </w:r>
          </w:p>
        </w:tc>
        <w:tc>
          <w:tcPr>
            <w:tcW w:w="2800" w:type="dxa"/>
            <w:vAlign w:val="bottom"/>
            <w:vMerge w:val="restart"/>
          </w:tcPr>
          <w:p>
            <w:pPr>
              <w:ind w:left="1320"/>
              <w:spacing w:after="0"/>
              <w:rPr>
                <w:sz w:val="20"/>
                <w:szCs w:val="20"/>
                <w:color w:val="auto"/>
              </w:rPr>
            </w:pPr>
            <w:r>
              <w:rPr>
                <w:rFonts w:ascii="Arial" w:cs="Arial" w:eastAsia="Arial" w:hAnsi="Arial"/>
                <w:sz w:val="18"/>
                <w:szCs w:val="18"/>
                <w:b w:val="1"/>
                <w:bCs w:val="1"/>
                <w:color w:val="431C5B"/>
                <w:w w:val="97"/>
              </w:rPr>
              <w:t>SUSTAINABILITY</w:t>
            </w:r>
          </w:p>
        </w:tc>
        <w:tc>
          <w:tcPr>
            <w:tcW w:w="0" w:type="dxa"/>
            <w:vAlign w:val="bottom"/>
          </w:tcPr>
          <w:p>
            <w:pPr>
              <w:spacing w:after="0"/>
              <w:rPr>
                <w:sz w:val="1"/>
                <w:szCs w:val="1"/>
                <w:color w:val="auto"/>
              </w:rPr>
            </w:pPr>
          </w:p>
        </w:tc>
      </w:tr>
      <w:tr>
        <w:trPr>
          <w:trHeight w:val="112"/>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431C5B"/>
              </w:rPr>
              <w:t>BOARD EXPERIENCE</w:t>
            </w: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431C5B"/>
        </w:rPr>
        <w:t>HUMAN CAPITAL MANAGEMENT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Strategic Skills and Experiences for our Evolving Strategy</w:t>
      </w:r>
    </w:p>
    <w:p>
      <w:pPr>
        <w:spacing w:after="0" w:line="245" w:lineRule="exact"/>
        <w:rPr>
          <w:sz w:val="20"/>
          <w:szCs w:val="20"/>
          <w:color w:val="auto"/>
        </w:rPr>
      </w:pPr>
    </w:p>
    <w:p>
      <w:pPr>
        <w:ind w:left="1080"/>
        <w:spacing w:after="0"/>
        <w:tabs>
          <w:tab w:leader="none" w:pos="5580" w:val="left"/>
        </w:tabs>
        <w:rPr>
          <w:sz w:val="20"/>
          <w:szCs w:val="20"/>
          <w:color w:val="auto"/>
        </w:rPr>
      </w:pPr>
      <w:r>
        <w:rPr>
          <w:rFonts w:ascii="Arial" w:cs="Arial" w:eastAsia="Arial" w:hAnsi="Arial"/>
          <w:sz w:val="18"/>
          <w:szCs w:val="18"/>
          <w:b w:val="1"/>
          <w:bCs w:val="1"/>
          <w:color w:val="431C5B"/>
        </w:rPr>
        <w:t>TECHNOLOGY</w:t>
      </w:r>
      <w:r>
        <w:rPr>
          <w:sz w:val="20"/>
          <w:szCs w:val="20"/>
          <w:color w:val="auto"/>
        </w:rPr>
        <w:tab/>
      </w:r>
      <w:r>
        <w:rPr>
          <w:rFonts w:ascii="Arial" w:cs="Arial" w:eastAsia="Arial" w:hAnsi="Arial"/>
          <w:sz w:val="18"/>
          <w:szCs w:val="18"/>
          <w:b w:val="1"/>
          <w:bCs w:val="1"/>
          <w:color w:val="431C5B"/>
        </w:rPr>
        <w:t>BANKING OR FINANCIAL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80"/>
        <w:spacing w:after="0"/>
        <w:tabs>
          <w:tab w:leader="none" w:pos="5580" w:val="left"/>
        </w:tabs>
        <w:rPr>
          <w:sz w:val="20"/>
          <w:szCs w:val="20"/>
          <w:color w:val="auto"/>
        </w:rPr>
      </w:pPr>
      <w:r>
        <w:rPr>
          <w:rFonts w:ascii="Arial" w:cs="Arial" w:eastAsia="Arial" w:hAnsi="Arial"/>
          <w:sz w:val="18"/>
          <w:szCs w:val="18"/>
          <w:b w:val="1"/>
          <w:bCs w:val="1"/>
          <w:color w:val="431C5B"/>
        </w:rPr>
        <w:t>BUSINESS TRANSFORMATION</w:t>
      </w:r>
      <w:r>
        <w:rPr>
          <w:sz w:val="20"/>
          <w:szCs w:val="20"/>
          <w:color w:val="auto"/>
        </w:rPr>
        <w:tab/>
      </w:r>
      <w:r>
        <w:rPr>
          <w:rFonts w:ascii="Arial" w:cs="Arial" w:eastAsia="Arial" w:hAnsi="Arial"/>
          <w:sz w:val="17"/>
          <w:szCs w:val="17"/>
          <w:b w:val="1"/>
          <w:bCs w:val="1"/>
          <w:color w:val="431C5B"/>
        </w:rPr>
        <w:t>DIGITAL TRANSFORMATION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431C5B"/>
        </w:rPr>
        <w:t>FINANCIAL TECHNOLOGY</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960"/>
        <w:spacing w:after="0"/>
        <w:tabs>
          <w:tab w:leader="none" w:pos="87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9</w:t>
      </w:r>
    </w:p>
    <w:p>
      <w:pPr>
        <w:sectPr>
          <w:pgSz w:w="11900" w:h="16838" w:orient="portrait"/>
          <w:cols w:equalWidth="0" w:num="1">
            <w:col w:w="9019"/>
          </w:cols>
          <w:pgMar w:left="1440" w:top="657" w:right="1440" w:bottom="1440" w:gutter="0" w:footer="0" w:header="0"/>
          <w:type w:val="continuous"/>
        </w:sectPr>
      </w:pPr>
    </w:p>
    <w:bookmarkStart w:id="12" w:name="page13"/>
    <w:bookmarkEnd w:id="12"/>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Proxy Summary</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Board of Directors</w:t>
      </w:r>
    </w:p>
    <w:p>
      <w:pPr>
        <w:spacing w:after="0" w:line="24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Nominees for Election as Directors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60" w:type="dxa"/>
            <w:vAlign w:val="bottom"/>
          </w:tcPr>
          <w:p>
            <w:pPr>
              <w:jc w:val="center"/>
              <w:ind w:left="748"/>
              <w:spacing w:after="0"/>
              <w:rPr>
                <w:sz w:val="20"/>
                <w:szCs w:val="20"/>
                <w:color w:val="auto"/>
              </w:rPr>
            </w:pPr>
            <w:r>
              <w:rPr>
                <w:rFonts w:ascii="Arial" w:cs="Arial" w:eastAsia="Arial" w:hAnsi="Arial"/>
                <w:sz w:val="14"/>
                <w:szCs w:val="14"/>
                <w:b w:val="1"/>
                <w:bCs w:val="1"/>
                <w:color w:val="431C5B"/>
              </w:rPr>
              <w:t>Other Public</w:t>
            </w:r>
          </w:p>
        </w:tc>
      </w:tr>
      <w:tr>
        <w:trPr>
          <w:trHeight w:val="176"/>
        </w:trPr>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431C5B"/>
              </w:rPr>
              <w:t>Director</w:t>
            </w:r>
          </w:p>
        </w:tc>
        <w:tc>
          <w:tcPr>
            <w:tcW w:w="3500" w:type="dxa"/>
            <w:vAlign w:val="bottom"/>
          </w:tcPr>
          <w:p>
            <w:pPr>
              <w:ind w:left="360"/>
              <w:spacing w:after="0"/>
              <w:rPr>
                <w:sz w:val="20"/>
                <w:szCs w:val="20"/>
                <w:color w:val="auto"/>
              </w:rPr>
            </w:pPr>
            <w:r>
              <w:rPr>
                <w:rFonts w:ascii="Arial" w:cs="Arial" w:eastAsia="Arial" w:hAnsi="Arial"/>
                <w:sz w:val="14"/>
                <w:szCs w:val="14"/>
                <w:b w:val="1"/>
                <w:bCs w:val="1"/>
                <w:color w:val="431C5B"/>
              </w:rPr>
              <w:t>Board</w:t>
            </w:r>
          </w:p>
        </w:tc>
        <w:tc>
          <w:tcPr>
            <w:tcW w:w="1860" w:type="dxa"/>
            <w:vAlign w:val="bottom"/>
          </w:tcPr>
          <w:p>
            <w:pPr>
              <w:jc w:val="center"/>
              <w:ind w:left="748"/>
              <w:spacing w:after="0"/>
              <w:rPr>
                <w:sz w:val="20"/>
                <w:szCs w:val="20"/>
                <w:color w:val="auto"/>
              </w:rPr>
            </w:pPr>
            <w:r>
              <w:rPr>
                <w:rFonts w:ascii="Arial" w:cs="Arial" w:eastAsia="Arial" w:hAnsi="Arial"/>
                <w:sz w:val="14"/>
                <w:szCs w:val="14"/>
                <w:b w:val="1"/>
                <w:bCs w:val="1"/>
                <w:color w:val="431C5B"/>
              </w:rPr>
              <w:t>Company</w:t>
            </w:r>
          </w:p>
        </w:tc>
      </w:tr>
      <w:tr>
        <w:trPr>
          <w:trHeight w:val="171"/>
        </w:trPr>
        <w:tc>
          <w:tcPr>
            <w:tcW w:w="132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1240" w:type="dxa"/>
            <w:vAlign w:val="bottom"/>
            <w:tcBorders>
              <w:bottom w:val="single" w:sz="8" w:color="431C5B"/>
            </w:tcBorders>
          </w:tcPr>
          <w:p>
            <w:pPr>
              <w:ind w:left="840"/>
              <w:spacing w:after="0"/>
              <w:rPr>
                <w:sz w:val="20"/>
                <w:szCs w:val="20"/>
                <w:color w:val="auto"/>
              </w:rPr>
            </w:pPr>
            <w:r>
              <w:rPr>
                <w:rFonts w:ascii="Arial" w:cs="Arial" w:eastAsia="Arial" w:hAnsi="Arial"/>
                <w:sz w:val="14"/>
                <w:szCs w:val="14"/>
                <w:b w:val="1"/>
                <w:bCs w:val="1"/>
                <w:color w:val="431C5B"/>
              </w:rPr>
              <w:t>Age</w:t>
            </w:r>
          </w:p>
        </w:tc>
        <w:tc>
          <w:tcPr>
            <w:tcW w:w="84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Since</w:t>
            </w:r>
          </w:p>
        </w:tc>
        <w:tc>
          <w:tcPr>
            <w:tcW w:w="3500" w:type="dxa"/>
            <w:vAlign w:val="bottom"/>
            <w:tcBorders>
              <w:bottom w:val="single" w:sz="8" w:color="431C5B"/>
            </w:tcBorders>
          </w:tcPr>
          <w:p>
            <w:pPr>
              <w:ind w:left="140"/>
              <w:spacing w:after="0"/>
              <w:rPr>
                <w:sz w:val="20"/>
                <w:szCs w:val="20"/>
                <w:color w:val="auto"/>
              </w:rPr>
            </w:pPr>
            <w:r>
              <w:rPr>
                <w:rFonts w:ascii="Arial" w:cs="Arial" w:eastAsia="Arial" w:hAnsi="Arial"/>
                <w:sz w:val="14"/>
                <w:szCs w:val="14"/>
                <w:b w:val="1"/>
                <w:bCs w:val="1"/>
                <w:color w:val="431C5B"/>
              </w:rPr>
              <w:t>Committees  Principal Occupation</w:t>
            </w:r>
          </w:p>
        </w:tc>
        <w:tc>
          <w:tcPr>
            <w:tcW w:w="1860" w:type="dxa"/>
            <w:vAlign w:val="bottom"/>
            <w:tcBorders>
              <w:bottom w:val="single" w:sz="8" w:color="431C5B"/>
            </w:tcBorders>
          </w:tcPr>
          <w:p>
            <w:pPr>
              <w:jc w:val="center"/>
              <w:ind w:left="748"/>
              <w:spacing w:after="0"/>
              <w:rPr>
                <w:sz w:val="20"/>
                <w:szCs w:val="20"/>
                <w:color w:val="auto"/>
              </w:rPr>
            </w:pPr>
            <w:r>
              <w:rPr>
                <w:rFonts w:ascii="Arial" w:cs="Arial" w:eastAsia="Arial" w:hAnsi="Arial"/>
                <w:sz w:val="14"/>
                <w:szCs w:val="14"/>
                <w:b w:val="1"/>
                <w:bCs w:val="1"/>
                <w:color w:val="431C5B"/>
                <w:w w:val="99"/>
              </w:rPr>
              <w:t>Boards</w:t>
            </w:r>
          </w:p>
        </w:tc>
      </w:tr>
    </w:tbl>
    <w:p>
      <w:pPr>
        <w:spacing w:after="0" w:line="80" w:lineRule="exact"/>
        <w:rPr>
          <w:sz w:val="20"/>
          <w:szCs w:val="20"/>
          <w:color w:val="auto"/>
        </w:rPr>
      </w:pPr>
    </w:p>
    <w:p>
      <w:pPr>
        <w:sectPr>
          <w:pgSz w:w="11900" w:h="16838" w:orient="portrait"/>
          <w:cols w:equalWidth="0" w:num="1">
            <w:col w:w="9019"/>
          </w:cols>
          <w:pgMar w:left="1440" w:top="657" w:right="1440" w:bottom="1440" w:gutter="0" w:footer="0" w:header="0"/>
        </w:sectPr>
      </w:pPr>
    </w:p>
    <w:tbl>
      <w:tblPr>
        <w:tblLayout w:type="fixed"/>
        <w:tblInd w:w="1040" w:type="dxa"/>
        <w:tblCellMar>
          <w:top w:w="0" w:type="dxa"/>
          <w:left w:w="0" w:type="dxa"/>
          <w:bottom w:w="0" w:type="dxa"/>
          <w:right w:w="0" w:type="dxa"/>
        </w:tblCellMar>
      </w:tblPr>
      <w:tr>
        <w:trPr>
          <w:trHeight w:val="215"/>
        </w:trPr>
        <w:tc>
          <w:tcPr>
            <w:tcW w:w="980" w:type="dxa"/>
            <w:vAlign w:val="bottom"/>
          </w:tcPr>
          <w:p>
            <w:pPr>
              <w:spacing w:after="0"/>
              <w:rPr>
                <w:sz w:val="20"/>
                <w:szCs w:val="20"/>
                <w:color w:val="auto"/>
              </w:rPr>
            </w:pPr>
            <w:r>
              <w:rPr>
                <w:rFonts w:ascii="Arial" w:cs="Arial" w:eastAsia="Arial" w:hAnsi="Arial"/>
                <w:sz w:val="16"/>
                <w:szCs w:val="16"/>
                <w:color w:val="431C5B"/>
              </w:rPr>
              <w:t>Jeffrey A.</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vMerge w:val="restart"/>
          </w:tcPr>
          <w:p>
            <w:pPr>
              <w:jc w:val="center"/>
              <w:ind w:left="159"/>
              <w:spacing w:after="0"/>
              <w:rPr>
                <w:sz w:val="20"/>
                <w:szCs w:val="20"/>
                <w:color w:val="auto"/>
              </w:rPr>
            </w:pPr>
            <w:r>
              <w:rPr>
                <w:rFonts w:ascii="Arial" w:cs="Arial" w:eastAsia="Arial" w:hAnsi="Arial"/>
                <w:sz w:val="16"/>
                <w:szCs w:val="16"/>
                <w:color w:val="auto"/>
              </w:rPr>
              <w:t>CC</w:t>
            </w:r>
          </w:p>
        </w:tc>
        <w:tc>
          <w:tcPr>
            <w:tcW w:w="0" w:type="dxa"/>
            <w:vAlign w:val="bottom"/>
          </w:tcPr>
          <w:p>
            <w:pPr>
              <w:spacing w:after="0"/>
              <w:rPr>
                <w:sz w:val="1"/>
                <w:szCs w:val="1"/>
                <w:color w:val="auto"/>
              </w:rPr>
            </w:pPr>
          </w:p>
        </w:tc>
      </w:tr>
      <w:tr>
        <w:trPr>
          <w:trHeight w:val="42"/>
        </w:trPr>
        <w:tc>
          <w:tcPr>
            <w:tcW w:w="980" w:type="dxa"/>
            <w:vAlign w:val="bottom"/>
            <w:vMerge w:val="restart"/>
          </w:tcPr>
          <w:p>
            <w:pPr>
              <w:spacing w:after="0"/>
              <w:rPr>
                <w:sz w:val="20"/>
                <w:szCs w:val="20"/>
                <w:color w:val="auto"/>
              </w:rPr>
            </w:pPr>
            <w:r>
              <w:rPr>
                <w:rFonts w:ascii="Arial" w:cs="Arial" w:eastAsia="Arial" w:hAnsi="Arial"/>
                <w:sz w:val="16"/>
                <w:szCs w:val="16"/>
                <w:color w:val="431C5B"/>
              </w:rPr>
              <w:t>Goldstein</w:t>
            </w: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980" w:type="dxa"/>
            <w:vAlign w:val="bottom"/>
            <w:vMerge w:val="continue"/>
          </w:tcPr>
          <w:p>
            <w:pPr>
              <w:spacing w:after="0"/>
              <w:rPr>
                <w:sz w:val="19"/>
                <w:szCs w:val="19"/>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70</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2020</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CGNSC</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 xml:space="preserve">EC </w:t>
      </w:r>
      <w:r>
        <w:rPr>
          <w:sz w:val="1"/>
          <w:szCs w:val="1"/>
          <w:color w:val="auto"/>
        </w:rPr>
        <w:drawing>
          <wp:inline distT="0" distB="0" distL="0" distR="0">
            <wp:extent cx="77470" cy="85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57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Former Under Secretary of the Treasury</w:t>
      </w:r>
    </w:p>
    <w:p>
      <w:pPr>
        <w:spacing w:after="0" w:line="32" w:lineRule="exact"/>
        <w:rPr>
          <w:sz w:val="20"/>
          <w:szCs w:val="20"/>
          <w:color w:val="auto"/>
        </w:rPr>
      </w:pPr>
    </w:p>
    <w:p>
      <w:pPr>
        <w:ind w:right="619"/>
        <w:spacing w:after="0" w:line="304" w:lineRule="auto"/>
        <w:rPr>
          <w:sz w:val="20"/>
          <w:szCs w:val="20"/>
          <w:color w:val="auto"/>
        </w:rPr>
      </w:pPr>
      <w:r>
        <w:rPr>
          <w:rFonts w:ascii="Arial" w:cs="Arial" w:eastAsia="Arial" w:hAnsi="Arial"/>
          <w:sz w:val="16"/>
          <w:szCs w:val="16"/>
          <w:color w:val="auto"/>
        </w:rPr>
        <w:t>for Domestic Finance and Counselor to 1 the Secretary of the Treasury</w:t>
      </w:r>
    </w:p>
    <w:p>
      <w:pPr>
        <w:spacing w:after="0" w:line="200" w:lineRule="exact"/>
        <w:rPr>
          <w:sz w:val="20"/>
          <w:szCs w:val="20"/>
          <w:color w:val="auto"/>
        </w:rPr>
      </w:pPr>
    </w:p>
    <w:p>
      <w:pPr>
        <w:sectPr>
          <w:pgSz w:w="11900" w:h="16838" w:orient="portrait"/>
          <w:cols w:equalWidth="0" w:num="2">
            <w:col w:w="4380" w:space="280"/>
            <w:col w:w="4359"/>
          </w:cols>
          <w:pgMar w:left="1440" w:top="657" w:right="1440" w:bottom="1440" w:gutter="0" w:footer="0" w:header="0"/>
          <w:type w:val="continuous"/>
        </w:sectPr>
      </w:pP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1720" w:type="dxa"/>
            <w:vAlign w:val="bottom"/>
          </w:tcPr>
          <w:p>
            <w:pPr>
              <w:ind w:left="520"/>
              <w:spacing w:after="0"/>
              <w:rPr>
                <w:sz w:val="20"/>
                <w:szCs w:val="20"/>
                <w:color w:val="auto"/>
              </w:rPr>
            </w:pPr>
            <w:r>
              <w:rPr>
                <w:rFonts w:ascii="Arial" w:cs="Arial" w:eastAsia="Arial" w:hAnsi="Arial"/>
                <w:sz w:val="16"/>
                <w:szCs w:val="16"/>
                <w:color w:val="431C5B"/>
              </w:rPr>
              <w:t>Stephanie L.</w:t>
            </w:r>
          </w:p>
        </w:tc>
        <w:tc>
          <w:tcPr>
            <w:tcW w:w="360" w:type="dxa"/>
            <w:vAlign w:val="bottom"/>
            <w:vMerge w:val="restart"/>
          </w:tcPr>
          <w:p>
            <w:pPr>
              <w:jc w:val="right"/>
              <w:ind w:right="19"/>
              <w:spacing w:after="0"/>
              <w:rPr>
                <w:sz w:val="20"/>
                <w:szCs w:val="20"/>
                <w:color w:val="auto"/>
              </w:rPr>
            </w:pPr>
            <w:r>
              <w:rPr>
                <w:rFonts w:ascii="Arial" w:cs="Arial" w:eastAsia="Arial" w:hAnsi="Arial"/>
                <w:sz w:val="16"/>
                <w:szCs w:val="16"/>
                <w:color w:val="auto"/>
              </w:rPr>
              <w:t>52</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2022</w:t>
            </w: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rPr>
              <w:t>EC</w:t>
            </w:r>
          </w:p>
        </w:tc>
        <w:tc>
          <w:tcPr>
            <w:tcW w:w="3180" w:type="dxa"/>
            <w:vAlign w:val="bottom"/>
          </w:tcPr>
          <w:p>
            <w:pPr>
              <w:ind w:left="140"/>
              <w:spacing w:after="0"/>
              <w:rPr>
                <w:sz w:val="20"/>
                <w:szCs w:val="20"/>
                <w:color w:val="auto"/>
              </w:rPr>
            </w:pPr>
            <w:r>
              <w:rPr>
                <w:rFonts w:ascii="Arial" w:cs="Arial" w:eastAsia="Arial" w:hAnsi="Arial"/>
                <w:sz w:val="16"/>
                <w:szCs w:val="16"/>
                <w:color w:val="auto"/>
              </w:rPr>
              <w:t>Chief Executive Officer and</w:t>
            </w:r>
          </w:p>
        </w:tc>
        <w:tc>
          <w:tcPr>
            <w:tcW w:w="1180" w:type="dxa"/>
            <w:vAlign w:val="bottom"/>
            <w:vMerge w:val="restart"/>
          </w:tcPr>
          <w:p>
            <w:pPr>
              <w:jc w:val="center"/>
              <w:ind w:left="59"/>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720" w:type="dxa"/>
            <w:vAlign w:val="bottom"/>
            <w:vMerge w:val="restart"/>
          </w:tcPr>
          <w:p>
            <w:pPr>
              <w:ind w:left="520"/>
              <w:spacing w:after="0"/>
              <w:rPr>
                <w:sz w:val="20"/>
                <w:szCs w:val="20"/>
                <w:color w:val="auto"/>
              </w:rPr>
            </w:pPr>
            <w:r>
              <w:rPr>
                <w:rFonts w:ascii="Arial" w:cs="Arial" w:eastAsia="Arial" w:hAnsi="Arial"/>
                <w:sz w:val="16"/>
                <w:szCs w:val="16"/>
                <w:color w:val="431C5B"/>
              </w:rPr>
              <w:t>Ferris</w:t>
            </w:r>
          </w:p>
        </w:tc>
        <w:tc>
          <w:tcPr>
            <w:tcW w:w="3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President, FIS</w:t>
            </w: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1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00" w:type="dxa"/>
            <w:vAlign w:val="bottom"/>
            <w:tcBorders>
              <w:bottom w:val="single" w:sz="8" w:color="CCCCCC"/>
            </w:tcBorders>
          </w:tcPr>
          <w:p>
            <w:pPr>
              <w:spacing w:after="0"/>
              <w:rPr>
                <w:sz w:val="18"/>
                <w:szCs w:val="18"/>
                <w:color w:val="auto"/>
              </w:rPr>
            </w:pPr>
          </w:p>
        </w:tc>
        <w:tc>
          <w:tcPr>
            <w:tcW w:w="1720" w:type="dxa"/>
            <w:vAlign w:val="bottom"/>
            <w:tcBorders>
              <w:bottom w:val="single" w:sz="8" w:color="CCCCCC"/>
            </w:tcBorders>
          </w:tcPr>
          <w:p>
            <w:pPr>
              <w:spacing w:after="0"/>
              <w:rPr>
                <w:sz w:val="18"/>
                <w:szCs w:val="18"/>
                <w:color w:val="auto"/>
              </w:rPr>
            </w:pPr>
          </w:p>
        </w:tc>
        <w:tc>
          <w:tcPr>
            <w:tcW w:w="360" w:type="dxa"/>
            <w:vAlign w:val="bottom"/>
            <w:tcBorders>
              <w:bottom w:val="single" w:sz="8" w:color="CCCCCC"/>
            </w:tcBorders>
          </w:tcPr>
          <w:p>
            <w:pPr>
              <w:spacing w:after="0"/>
              <w:rPr>
                <w:sz w:val="18"/>
                <w:szCs w:val="18"/>
                <w:color w:val="auto"/>
              </w:rPr>
            </w:pPr>
          </w:p>
        </w:tc>
        <w:tc>
          <w:tcPr>
            <w:tcW w:w="780" w:type="dxa"/>
            <w:vAlign w:val="bottom"/>
            <w:tcBorders>
              <w:bottom w:val="single" w:sz="8" w:color="CCCCCC"/>
            </w:tcBorders>
          </w:tcPr>
          <w:p>
            <w:pPr>
              <w:spacing w:after="0"/>
              <w:rPr>
                <w:sz w:val="18"/>
                <w:szCs w:val="18"/>
                <w:color w:val="auto"/>
              </w:rPr>
            </w:pPr>
          </w:p>
        </w:tc>
        <w:tc>
          <w:tcPr>
            <w:tcW w:w="1140" w:type="dxa"/>
            <w:vAlign w:val="bottom"/>
            <w:tcBorders>
              <w:bottom w:val="single" w:sz="8" w:color="CCCCCC"/>
            </w:tcBorders>
          </w:tcPr>
          <w:p>
            <w:pPr>
              <w:spacing w:after="0"/>
              <w:rPr>
                <w:sz w:val="18"/>
                <w:szCs w:val="18"/>
                <w:color w:val="auto"/>
              </w:rPr>
            </w:pPr>
          </w:p>
        </w:tc>
        <w:tc>
          <w:tcPr>
            <w:tcW w:w="3180" w:type="dxa"/>
            <w:vAlign w:val="bottom"/>
            <w:tcBorders>
              <w:bottom w:val="single" w:sz="8" w:color="CCCCCC"/>
            </w:tcBorders>
          </w:tcPr>
          <w:p>
            <w:pPr>
              <w:spacing w:after="0"/>
              <w:rPr>
                <w:sz w:val="18"/>
                <w:szCs w:val="18"/>
                <w:color w:val="auto"/>
              </w:rPr>
            </w:pPr>
          </w:p>
        </w:tc>
        <w:tc>
          <w:tcPr>
            <w:tcW w:w="1180" w:type="dxa"/>
            <w:vAlign w:val="bottom"/>
            <w:tcBorders>
              <w:bottom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400" w:type="dxa"/>
            <w:vAlign w:val="bottom"/>
          </w:tcPr>
          <w:p>
            <w:pPr>
              <w:spacing w:after="0"/>
              <w:rPr>
                <w:sz w:val="24"/>
                <w:szCs w:val="24"/>
                <w:color w:val="auto"/>
              </w:rPr>
            </w:pPr>
          </w:p>
        </w:tc>
        <w:tc>
          <w:tcPr>
            <w:tcW w:w="1720" w:type="dxa"/>
            <w:vAlign w:val="bottom"/>
          </w:tcPr>
          <w:p>
            <w:pPr>
              <w:ind w:left="520"/>
              <w:spacing w:after="0"/>
              <w:rPr>
                <w:sz w:val="20"/>
                <w:szCs w:val="20"/>
                <w:color w:val="auto"/>
              </w:rPr>
            </w:pPr>
            <w:r>
              <w:rPr>
                <w:rFonts w:ascii="Arial" w:cs="Arial" w:eastAsia="Arial" w:hAnsi="Arial"/>
                <w:sz w:val="16"/>
                <w:szCs w:val="16"/>
                <w:color w:val="431C5B"/>
              </w:rPr>
              <w:t>Nicole M.</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8"/>
              </w:rPr>
              <w:t>AC</w:t>
            </w:r>
          </w:p>
        </w:tc>
        <w:tc>
          <w:tcPr>
            <w:tcW w:w="3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0" w:type="dxa"/>
            <w:vAlign w:val="bottom"/>
          </w:tcPr>
          <w:p>
            <w:pPr>
              <w:spacing w:after="0"/>
              <w:rPr>
                <w:sz w:val="4"/>
                <w:szCs w:val="4"/>
                <w:color w:val="auto"/>
              </w:rPr>
            </w:pPr>
          </w:p>
        </w:tc>
        <w:tc>
          <w:tcPr>
            <w:tcW w:w="1720" w:type="dxa"/>
            <w:vAlign w:val="bottom"/>
            <w:vMerge w:val="restart"/>
          </w:tcPr>
          <w:p>
            <w:pPr>
              <w:ind w:left="520"/>
              <w:spacing w:after="0"/>
              <w:rPr>
                <w:sz w:val="20"/>
                <w:szCs w:val="20"/>
                <w:color w:val="auto"/>
              </w:rPr>
            </w:pPr>
            <w:r>
              <w:rPr>
                <w:rFonts w:ascii="Arial" w:cs="Arial" w:eastAsia="Arial" w:hAnsi="Arial"/>
                <w:sz w:val="16"/>
                <w:szCs w:val="16"/>
                <w:color w:val="431C5B"/>
              </w:rPr>
              <w:t>Anasenes</w:t>
            </w: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3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360" w:type="dxa"/>
            <w:vAlign w:val="bottom"/>
            <w:vMerge w:val="restart"/>
          </w:tcPr>
          <w:p>
            <w:pPr>
              <w:jc w:val="right"/>
              <w:ind w:right="19"/>
              <w:spacing w:after="0"/>
              <w:rPr>
                <w:sz w:val="20"/>
                <w:szCs w:val="20"/>
                <w:color w:val="auto"/>
              </w:rPr>
            </w:pPr>
            <w:r>
              <w:rPr>
                <w:rFonts w:ascii="Arial" w:cs="Arial" w:eastAsia="Arial" w:hAnsi="Arial"/>
                <w:sz w:val="16"/>
                <w:szCs w:val="16"/>
                <w:color w:val="auto"/>
              </w:rPr>
              <w:t>52</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2024</w:t>
            </w: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w w:val="97"/>
              </w:rPr>
              <w:t>RTC</w:t>
            </w: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Former SVP and CFO, Ansys, Inc.</w:t>
            </w:r>
          </w:p>
        </w:tc>
        <w:tc>
          <w:tcPr>
            <w:tcW w:w="11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31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center"/>
              <w:ind w:left="179"/>
              <w:spacing w:after="0"/>
              <w:rPr>
                <w:sz w:val="20"/>
                <w:szCs w:val="20"/>
                <w:color w:val="auto"/>
              </w:rPr>
            </w:pPr>
            <w:r>
              <w:rPr>
                <w:rFonts w:ascii="Arial" w:cs="Arial" w:eastAsia="Arial" w:hAnsi="Arial"/>
                <w:sz w:val="16"/>
                <w:szCs w:val="16"/>
                <w:color w:val="auto"/>
              </w:rPr>
              <w:t>EC</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400" w:type="dxa"/>
            <w:vAlign w:val="bottom"/>
            <w:tcBorders>
              <w:bottom w:val="single" w:sz="8" w:color="CCCCCC"/>
            </w:tcBorders>
          </w:tcPr>
          <w:p>
            <w:pPr>
              <w:spacing w:after="0"/>
              <w:rPr>
                <w:sz w:val="9"/>
                <w:szCs w:val="9"/>
                <w:color w:val="auto"/>
              </w:rPr>
            </w:pPr>
          </w:p>
        </w:tc>
        <w:tc>
          <w:tcPr>
            <w:tcW w:w="1720" w:type="dxa"/>
            <w:vAlign w:val="bottom"/>
            <w:tcBorders>
              <w:bottom w:val="single" w:sz="8" w:color="CCCCCC"/>
            </w:tcBorders>
          </w:tcPr>
          <w:p>
            <w:pPr>
              <w:spacing w:after="0"/>
              <w:rPr>
                <w:sz w:val="9"/>
                <w:szCs w:val="9"/>
                <w:color w:val="auto"/>
              </w:rPr>
            </w:pPr>
          </w:p>
        </w:tc>
        <w:tc>
          <w:tcPr>
            <w:tcW w:w="360" w:type="dxa"/>
            <w:vAlign w:val="bottom"/>
            <w:tcBorders>
              <w:bottom w:val="single" w:sz="8" w:color="CCCCCC"/>
            </w:tcBorders>
          </w:tcPr>
          <w:p>
            <w:pPr>
              <w:spacing w:after="0"/>
              <w:rPr>
                <w:sz w:val="9"/>
                <w:szCs w:val="9"/>
                <w:color w:val="auto"/>
              </w:rPr>
            </w:pPr>
          </w:p>
        </w:tc>
        <w:tc>
          <w:tcPr>
            <w:tcW w:w="780" w:type="dxa"/>
            <w:vAlign w:val="bottom"/>
            <w:tcBorders>
              <w:bottom w:val="single" w:sz="8" w:color="CCCCCC"/>
            </w:tcBorders>
          </w:tcPr>
          <w:p>
            <w:pPr>
              <w:spacing w:after="0"/>
              <w:rPr>
                <w:sz w:val="9"/>
                <w:szCs w:val="9"/>
                <w:color w:val="auto"/>
              </w:rPr>
            </w:pPr>
          </w:p>
        </w:tc>
        <w:tc>
          <w:tcPr>
            <w:tcW w:w="1140" w:type="dxa"/>
            <w:vAlign w:val="bottom"/>
            <w:tcBorders>
              <w:bottom w:val="single" w:sz="8" w:color="CCCCCC"/>
            </w:tcBorders>
          </w:tcPr>
          <w:p>
            <w:pPr>
              <w:spacing w:after="0"/>
              <w:rPr>
                <w:sz w:val="9"/>
                <w:szCs w:val="9"/>
                <w:color w:val="auto"/>
              </w:rPr>
            </w:pPr>
          </w:p>
        </w:tc>
        <w:tc>
          <w:tcPr>
            <w:tcW w:w="3180" w:type="dxa"/>
            <w:vAlign w:val="bottom"/>
            <w:tcBorders>
              <w:bottom w:val="single" w:sz="8" w:color="CCCCCC"/>
            </w:tcBorders>
          </w:tcPr>
          <w:p>
            <w:pPr>
              <w:spacing w:after="0"/>
              <w:rPr>
                <w:sz w:val="9"/>
                <w:szCs w:val="9"/>
                <w:color w:val="auto"/>
              </w:rPr>
            </w:pPr>
          </w:p>
        </w:tc>
        <w:tc>
          <w:tcPr>
            <w:tcW w:w="1180" w:type="dxa"/>
            <w:vAlign w:val="bottom"/>
            <w:tcBorders>
              <w:bottom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400" w:type="dxa"/>
            <w:vAlign w:val="bottom"/>
          </w:tcPr>
          <w:p>
            <w:pPr>
              <w:spacing w:after="0"/>
              <w:rPr>
                <w:sz w:val="24"/>
                <w:szCs w:val="24"/>
                <w:color w:val="auto"/>
              </w:rPr>
            </w:pPr>
          </w:p>
        </w:tc>
        <w:tc>
          <w:tcPr>
            <w:tcW w:w="1720" w:type="dxa"/>
            <w:vAlign w:val="bottom"/>
          </w:tcPr>
          <w:p>
            <w:pPr>
              <w:ind w:left="520"/>
              <w:spacing w:after="0"/>
              <w:rPr>
                <w:sz w:val="20"/>
                <w:szCs w:val="20"/>
                <w:color w:val="auto"/>
              </w:rPr>
            </w:pPr>
            <w:r>
              <w:rPr>
                <w:rFonts w:ascii="Arial" w:cs="Arial" w:eastAsia="Arial" w:hAnsi="Arial"/>
                <w:sz w:val="16"/>
                <w:szCs w:val="16"/>
                <w:color w:val="431C5B"/>
              </w:rPr>
              <w:t>Anil</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rPr>
              <w:t>AC</w:t>
            </w: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President, Customer Experience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720" w:type="dxa"/>
            <w:vAlign w:val="bottom"/>
            <w:vMerge w:val="restart"/>
          </w:tcPr>
          <w:p>
            <w:pPr>
              <w:ind w:left="520"/>
              <w:spacing w:after="0"/>
              <w:rPr>
                <w:sz w:val="20"/>
                <w:szCs w:val="20"/>
                <w:color w:val="auto"/>
              </w:rPr>
            </w:pPr>
            <w:r>
              <w:rPr>
                <w:rFonts w:ascii="Arial" w:cs="Arial" w:eastAsia="Arial" w:hAnsi="Arial"/>
                <w:sz w:val="16"/>
                <w:szCs w:val="16"/>
                <w:color w:val="431C5B"/>
              </w:rPr>
              <w:t>Chakravarthy</w:t>
            </w:r>
          </w:p>
        </w:tc>
        <w:tc>
          <w:tcPr>
            <w:tcW w:w="360" w:type="dxa"/>
            <w:vAlign w:val="bottom"/>
            <w:vMerge w:val="restart"/>
          </w:tcPr>
          <w:p>
            <w:pPr>
              <w:jc w:val="right"/>
              <w:ind w:right="19"/>
              <w:spacing w:after="0"/>
              <w:rPr>
                <w:sz w:val="20"/>
                <w:szCs w:val="20"/>
                <w:color w:val="auto"/>
              </w:rPr>
            </w:pPr>
            <w:r>
              <w:rPr>
                <w:rFonts w:ascii="Arial" w:cs="Arial" w:eastAsia="Arial" w:hAnsi="Arial"/>
                <w:sz w:val="16"/>
                <w:szCs w:val="16"/>
                <w:color w:val="auto"/>
              </w:rPr>
              <w:t>58</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2026</w:t>
            </w:r>
          </w:p>
        </w:tc>
        <w:tc>
          <w:tcPr>
            <w:tcW w:w="1140" w:type="dxa"/>
            <w:vAlign w:val="bottom"/>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1180" w:type="dxa"/>
            <w:vAlign w:val="bottom"/>
            <w:vMerge w:val="restart"/>
          </w:tcPr>
          <w:p>
            <w:pPr>
              <w:jc w:val="center"/>
              <w:ind w:left="59"/>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w w:val="97"/>
              </w:rPr>
              <w:t>RTC</w:t>
            </w: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Orchestration Business, Adobe</w:t>
            </w: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31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31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00" w:type="dxa"/>
            <w:vAlign w:val="bottom"/>
            <w:tcBorders>
              <w:bottom w:val="single" w:sz="8" w:color="CCCCCC"/>
            </w:tcBorders>
          </w:tcPr>
          <w:p>
            <w:pPr>
              <w:spacing w:after="0"/>
              <w:rPr>
                <w:sz w:val="18"/>
                <w:szCs w:val="18"/>
                <w:color w:val="auto"/>
              </w:rPr>
            </w:pPr>
          </w:p>
        </w:tc>
        <w:tc>
          <w:tcPr>
            <w:tcW w:w="1720" w:type="dxa"/>
            <w:vAlign w:val="bottom"/>
            <w:tcBorders>
              <w:bottom w:val="single" w:sz="8" w:color="CCCCCC"/>
            </w:tcBorders>
          </w:tcPr>
          <w:p>
            <w:pPr>
              <w:spacing w:after="0"/>
              <w:rPr>
                <w:sz w:val="18"/>
                <w:szCs w:val="18"/>
                <w:color w:val="auto"/>
              </w:rPr>
            </w:pPr>
          </w:p>
        </w:tc>
        <w:tc>
          <w:tcPr>
            <w:tcW w:w="360" w:type="dxa"/>
            <w:vAlign w:val="bottom"/>
            <w:tcBorders>
              <w:bottom w:val="single" w:sz="8" w:color="CCCCCC"/>
            </w:tcBorders>
          </w:tcPr>
          <w:p>
            <w:pPr>
              <w:spacing w:after="0"/>
              <w:rPr>
                <w:sz w:val="18"/>
                <w:szCs w:val="18"/>
                <w:color w:val="auto"/>
              </w:rPr>
            </w:pPr>
          </w:p>
        </w:tc>
        <w:tc>
          <w:tcPr>
            <w:tcW w:w="780" w:type="dxa"/>
            <w:vAlign w:val="bottom"/>
            <w:tcBorders>
              <w:bottom w:val="single" w:sz="8" w:color="CCCCCC"/>
            </w:tcBorders>
          </w:tcPr>
          <w:p>
            <w:pPr>
              <w:spacing w:after="0"/>
              <w:rPr>
                <w:sz w:val="18"/>
                <w:szCs w:val="18"/>
                <w:color w:val="auto"/>
              </w:rPr>
            </w:pPr>
          </w:p>
        </w:tc>
        <w:tc>
          <w:tcPr>
            <w:tcW w:w="1140" w:type="dxa"/>
            <w:vAlign w:val="bottom"/>
            <w:tcBorders>
              <w:bottom w:val="single" w:sz="8" w:color="CCCCCC"/>
            </w:tcBorders>
          </w:tcPr>
          <w:p>
            <w:pPr>
              <w:spacing w:after="0"/>
              <w:rPr>
                <w:sz w:val="18"/>
                <w:szCs w:val="18"/>
                <w:color w:val="auto"/>
              </w:rPr>
            </w:pPr>
          </w:p>
        </w:tc>
        <w:tc>
          <w:tcPr>
            <w:tcW w:w="3180" w:type="dxa"/>
            <w:vAlign w:val="bottom"/>
            <w:tcBorders>
              <w:bottom w:val="single" w:sz="8" w:color="CCCCCC"/>
            </w:tcBorders>
          </w:tcPr>
          <w:p>
            <w:pPr>
              <w:spacing w:after="0"/>
              <w:rPr>
                <w:sz w:val="18"/>
                <w:szCs w:val="18"/>
                <w:color w:val="auto"/>
              </w:rPr>
            </w:pPr>
          </w:p>
        </w:tc>
        <w:tc>
          <w:tcPr>
            <w:tcW w:w="1180" w:type="dxa"/>
            <w:vAlign w:val="bottom"/>
            <w:tcBorders>
              <w:bottom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400" w:type="dxa"/>
            <w:vAlign w:val="bottom"/>
          </w:tcPr>
          <w:p>
            <w:pPr>
              <w:spacing w:after="0"/>
              <w:rPr>
                <w:sz w:val="24"/>
                <w:szCs w:val="24"/>
                <w:color w:val="auto"/>
              </w:rPr>
            </w:pPr>
          </w:p>
        </w:tc>
        <w:tc>
          <w:tcPr>
            <w:tcW w:w="1720" w:type="dxa"/>
            <w:vAlign w:val="bottom"/>
          </w:tcPr>
          <w:p>
            <w:pPr>
              <w:ind w:left="520"/>
              <w:spacing w:after="0"/>
              <w:rPr>
                <w:sz w:val="20"/>
                <w:szCs w:val="20"/>
                <w:color w:val="auto"/>
              </w:rPr>
            </w:pPr>
            <w:r>
              <w:rPr>
                <w:rFonts w:ascii="Arial" w:cs="Arial" w:eastAsia="Arial" w:hAnsi="Arial"/>
                <w:sz w:val="16"/>
                <w:szCs w:val="16"/>
                <w:color w:val="431C5B"/>
              </w:rPr>
              <w:t>Kourtney K.</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rPr>
              <w:t>AC</w:t>
            </w:r>
          </w:p>
        </w:tc>
        <w:tc>
          <w:tcPr>
            <w:tcW w:w="3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720" w:type="dxa"/>
            <w:vAlign w:val="bottom"/>
            <w:vMerge w:val="restart"/>
          </w:tcPr>
          <w:p>
            <w:pPr>
              <w:ind w:left="520"/>
              <w:spacing w:after="0"/>
              <w:rPr>
                <w:sz w:val="20"/>
                <w:szCs w:val="20"/>
                <w:color w:val="auto"/>
              </w:rPr>
            </w:pPr>
            <w:r>
              <w:rPr>
                <w:rFonts w:ascii="Arial" w:cs="Arial" w:eastAsia="Arial" w:hAnsi="Arial"/>
                <w:sz w:val="16"/>
                <w:szCs w:val="16"/>
                <w:color w:val="431C5B"/>
              </w:rPr>
              <w:t>Gibson</w:t>
            </w:r>
          </w:p>
        </w:tc>
        <w:tc>
          <w:tcPr>
            <w:tcW w:w="360" w:type="dxa"/>
            <w:vAlign w:val="bottom"/>
            <w:vMerge w:val="restart"/>
          </w:tcPr>
          <w:p>
            <w:pPr>
              <w:jc w:val="right"/>
              <w:ind w:right="19"/>
              <w:spacing w:after="0"/>
              <w:rPr>
                <w:sz w:val="20"/>
                <w:szCs w:val="20"/>
                <w:color w:val="auto"/>
              </w:rPr>
            </w:pPr>
            <w:r>
              <w:rPr>
                <w:rFonts w:ascii="Arial" w:cs="Arial" w:eastAsia="Arial" w:hAnsi="Arial"/>
                <w:sz w:val="16"/>
                <w:szCs w:val="16"/>
                <w:color w:val="auto"/>
              </w:rPr>
              <w:t>44</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2024</w:t>
            </w:r>
          </w:p>
        </w:tc>
        <w:tc>
          <w:tcPr>
            <w:tcW w:w="1140" w:type="dxa"/>
            <w:vAlign w:val="bottom"/>
            <w:vMerge w:val="continue"/>
          </w:tcPr>
          <w:p>
            <w:pPr>
              <w:spacing w:after="0"/>
              <w:rPr>
                <w:sz w:val="14"/>
                <w:szCs w:val="14"/>
                <w:color w:val="auto"/>
              </w:rPr>
            </w:pP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CEO, Retirement Solutions, TIAA</w:t>
            </w:r>
          </w:p>
        </w:tc>
        <w:tc>
          <w:tcPr>
            <w:tcW w:w="11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w w:val="97"/>
              </w:rPr>
              <w:t>RTC</w:t>
            </w:r>
          </w:p>
        </w:tc>
        <w:tc>
          <w:tcPr>
            <w:tcW w:w="31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31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3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00" w:type="dxa"/>
            <w:vAlign w:val="bottom"/>
            <w:tcBorders>
              <w:bottom w:val="single" w:sz="8" w:color="CCCCCC"/>
            </w:tcBorders>
          </w:tcPr>
          <w:p>
            <w:pPr>
              <w:spacing w:after="0"/>
              <w:rPr>
                <w:sz w:val="18"/>
                <w:szCs w:val="18"/>
                <w:color w:val="auto"/>
              </w:rPr>
            </w:pPr>
          </w:p>
        </w:tc>
        <w:tc>
          <w:tcPr>
            <w:tcW w:w="1720" w:type="dxa"/>
            <w:vAlign w:val="bottom"/>
            <w:tcBorders>
              <w:bottom w:val="single" w:sz="8" w:color="CCCCCC"/>
            </w:tcBorders>
          </w:tcPr>
          <w:p>
            <w:pPr>
              <w:spacing w:after="0"/>
              <w:rPr>
                <w:sz w:val="18"/>
                <w:szCs w:val="18"/>
                <w:color w:val="auto"/>
              </w:rPr>
            </w:pPr>
          </w:p>
        </w:tc>
        <w:tc>
          <w:tcPr>
            <w:tcW w:w="360" w:type="dxa"/>
            <w:vAlign w:val="bottom"/>
            <w:tcBorders>
              <w:bottom w:val="single" w:sz="8" w:color="CCCCCC"/>
            </w:tcBorders>
          </w:tcPr>
          <w:p>
            <w:pPr>
              <w:spacing w:after="0"/>
              <w:rPr>
                <w:sz w:val="18"/>
                <w:szCs w:val="18"/>
                <w:color w:val="auto"/>
              </w:rPr>
            </w:pPr>
          </w:p>
        </w:tc>
        <w:tc>
          <w:tcPr>
            <w:tcW w:w="780" w:type="dxa"/>
            <w:vAlign w:val="bottom"/>
            <w:tcBorders>
              <w:bottom w:val="single" w:sz="8" w:color="CCCCCC"/>
            </w:tcBorders>
          </w:tcPr>
          <w:p>
            <w:pPr>
              <w:spacing w:after="0"/>
              <w:rPr>
                <w:sz w:val="18"/>
                <w:szCs w:val="18"/>
                <w:color w:val="auto"/>
              </w:rPr>
            </w:pPr>
          </w:p>
        </w:tc>
        <w:tc>
          <w:tcPr>
            <w:tcW w:w="1140" w:type="dxa"/>
            <w:vAlign w:val="bottom"/>
            <w:tcBorders>
              <w:bottom w:val="single" w:sz="8" w:color="CCCCCC"/>
            </w:tcBorders>
          </w:tcPr>
          <w:p>
            <w:pPr>
              <w:spacing w:after="0"/>
              <w:rPr>
                <w:sz w:val="18"/>
                <w:szCs w:val="18"/>
                <w:color w:val="auto"/>
              </w:rPr>
            </w:pPr>
          </w:p>
        </w:tc>
        <w:tc>
          <w:tcPr>
            <w:tcW w:w="3180" w:type="dxa"/>
            <w:vAlign w:val="bottom"/>
            <w:tcBorders>
              <w:bottom w:val="single" w:sz="8" w:color="CCCCCC"/>
            </w:tcBorders>
          </w:tcPr>
          <w:p>
            <w:pPr>
              <w:spacing w:after="0"/>
              <w:rPr>
                <w:sz w:val="18"/>
                <w:szCs w:val="18"/>
                <w:color w:val="auto"/>
              </w:rPr>
            </w:pPr>
          </w:p>
        </w:tc>
        <w:tc>
          <w:tcPr>
            <w:tcW w:w="1180" w:type="dxa"/>
            <w:vAlign w:val="bottom"/>
            <w:tcBorders>
              <w:bottom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400" w:type="dxa"/>
            <w:vAlign w:val="bottom"/>
          </w:tcPr>
          <w:p>
            <w:pPr>
              <w:spacing w:after="0"/>
              <w:rPr>
                <w:sz w:val="24"/>
                <w:szCs w:val="24"/>
                <w:color w:val="auto"/>
              </w:rPr>
            </w:pPr>
          </w:p>
        </w:tc>
        <w:tc>
          <w:tcPr>
            <w:tcW w:w="1720" w:type="dxa"/>
            <w:vAlign w:val="bottom"/>
          </w:tcPr>
          <w:p>
            <w:pPr>
              <w:ind w:left="520"/>
              <w:spacing w:after="0"/>
              <w:rPr>
                <w:sz w:val="20"/>
                <w:szCs w:val="20"/>
                <w:color w:val="auto"/>
              </w:rPr>
            </w:pPr>
            <w:r>
              <w:rPr>
                <w:rFonts w:ascii="Arial" w:cs="Arial" w:eastAsia="Arial" w:hAnsi="Arial"/>
                <w:sz w:val="16"/>
                <w:szCs w:val="16"/>
                <w:color w:val="431C5B"/>
              </w:rPr>
              <w:t>Lisa A.</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RTC</w:t>
            </w: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Former President and CEO,</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0" w:type="dxa"/>
            <w:vAlign w:val="bottom"/>
          </w:tcPr>
          <w:p>
            <w:pPr>
              <w:spacing w:after="0"/>
              <w:rPr>
                <w:sz w:val="4"/>
                <w:szCs w:val="4"/>
                <w:color w:val="auto"/>
              </w:rPr>
            </w:pPr>
          </w:p>
        </w:tc>
        <w:tc>
          <w:tcPr>
            <w:tcW w:w="1720" w:type="dxa"/>
            <w:vAlign w:val="bottom"/>
            <w:vMerge w:val="restart"/>
          </w:tcPr>
          <w:p>
            <w:pPr>
              <w:ind w:left="520"/>
              <w:spacing w:after="0"/>
              <w:rPr>
                <w:sz w:val="20"/>
                <w:szCs w:val="20"/>
                <w:color w:val="auto"/>
              </w:rPr>
            </w:pPr>
            <w:r>
              <w:rPr>
                <w:rFonts w:ascii="Arial" w:cs="Arial" w:eastAsia="Arial" w:hAnsi="Arial"/>
                <w:sz w:val="16"/>
                <w:szCs w:val="16"/>
                <w:color w:val="431C5B"/>
              </w:rPr>
              <w:t>Hook</w:t>
            </w: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31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4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360" w:type="dxa"/>
            <w:vAlign w:val="bottom"/>
            <w:vMerge w:val="restart"/>
          </w:tcPr>
          <w:p>
            <w:pPr>
              <w:jc w:val="right"/>
              <w:ind w:right="19"/>
              <w:spacing w:after="0"/>
              <w:rPr>
                <w:sz w:val="20"/>
                <w:szCs w:val="20"/>
                <w:color w:val="auto"/>
              </w:rPr>
            </w:pPr>
            <w:r>
              <w:rPr>
                <w:rFonts w:ascii="Arial" w:cs="Arial" w:eastAsia="Arial" w:hAnsi="Arial"/>
                <w:sz w:val="16"/>
                <w:szCs w:val="16"/>
                <w:color w:val="auto"/>
              </w:rPr>
              <w:t>68</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2019</w:t>
            </w: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rPr>
              <w:t>AC</w:t>
            </w:r>
          </w:p>
        </w:tc>
        <w:tc>
          <w:tcPr>
            <w:tcW w:w="3180" w:type="dxa"/>
            <w:vAlign w:val="bottom"/>
            <w:vMerge w:val="continue"/>
          </w:tcPr>
          <w:p>
            <w:pPr>
              <w:spacing w:after="0"/>
              <w:rPr>
                <w:sz w:val="9"/>
                <w:szCs w:val="9"/>
                <w:color w:val="auto"/>
              </w:rPr>
            </w:pPr>
          </w:p>
        </w:tc>
        <w:tc>
          <w:tcPr>
            <w:tcW w:w="11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NeuStar, Inc.</w:t>
            </w: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31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rPr>
              <w:t>EC</w:t>
            </w:r>
          </w:p>
        </w:tc>
        <w:tc>
          <w:tcPr>
            <w:tcW w:w="31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3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00" w:type="dxa"/>
            <w:vAlign w:val="bottom"/>
            <w:tcBorders>
              <w:bottom w:val="single" w:sz="8" w:color="CCCCCC"/>
            </w:tcBorders>
          </w:tcPr>
          <w:p>
            <w:pPr>
              <w:spacing w:after="0"/>
              <w:rPr>
                <w:sz w:val="9"/>
                <w:szCs w:val="9"/>
                <w:color w:val="auto"/>
              </w:rPr>
            </w:pPr>
          </w:p>
        </w:tc>
        <w:tc>
          <w:tcPr>
            <w:tcW w:w="1720" w:type="dxa"/>
            <w:vAlign w:val="bottom"/>
            <w:tcBorders>
              <w:bottom w:val="single" w:sz="8" w:color="CCCCCC"/>
            </w:tcBorders>
          </w:tcPr>
          <w:p>
            <w:pPr>
              <w:spacing w:after="0"/>
              <w:rPr>
                <w:sz w:val="9"/>
                <w:szCs w:val="9"/>
                <w:color w:val="auto"/>
              </w:rPr>
            </w:pPr>
          </w:p>
        </w:tc>
        <w:tc>
          <w:tcPr>
            <w:tcW w:w="360" w:type="dxa"/>
            <w:vAlign w:val="bottom"/>
            <w:tcBorders>
              <w:bottom w:val="single" w:sz="8" w:color="CCCCCC"/>
            </w:tcBorders>
          </w:tcPr>
          <w:p>
            <w:pPr>
              <w:spacing w:after="0"/>
              <w:rPr>
                <w:sz w:val="9"/>
                <w:szCs w:val="9"/>
                <w:color w:val="auto"/>
              </w:rPr>
            </w:pPr>
          </w:p>
        </w:tc>
        <w:tc>
          <w:tcPr>
            <w:tcW w:w="780" w:type="dxa"/>
            <w:vAlign w:val="bottom"/>
            <w:tcBorders>
              <w:bottom w:val="single" w:sz="8" w:color="CCCCCC"/>
            </w:tcBorders>
          </w:tcPr>
          <w:p>
            <w:pPr>
              <w:spacing w:after="0"/>
              <w:rPr>
                <w:sz w:val="9"/>
                <w:szCs w:val="9"/>
                <w:color w:val="auto"/>
              </w:rPr>
            </w:pPr>
          </w:p>
        </w:tc>
        <w:tc>
          <w:tcPr>
            <w:tcW w:w="1140" w:type="dxa"/>
            <w:vAlign w:val="bottom"/>
            <w:tcBorders>
              <w:bottom w:val="single" w:sz="8" w:color="CCCCCC"/>
            </w:tcBorders>
          </w:tcPr>
          <w:p>
            <w:pPr>
              <w:spacing w:after="0"/>
              <w:rPr>
                <w:sz w:val="9"/>
                <w:szCs w:val="9"/>
                <w:color w:val="auto"/>
              </w:rPr>
            </w:pPr>
          </w:p>
        </w:tc>
        <w:tc>
          <w:tcPr>
            <w:tcW w:w="3180" w:type="dxa"/>
            <w:vAlign w:val="bottom"/>
            <w:tcBorders>
              <w:bottom w:val="single" w:sz="8" w:color="CCCCCC"/>
            </w:tcBorders>
          </w:tcPr>
          <w:p>
            <w:pPr>
              <w:spacing w:after="0"/>
              <w:rPr>
                <w:sz w:val="9"/>
                <w:szCs w:val="9"/>
                <w:color w:val="auto"/>
              </w:rPr>
            </w:pPr>
          </w:p>
        </w:tc>
        <w:tc>
          <w:tcPr>
            <w:tcW w:w="1180" w:type="dxa"/>
            <w:vAlign w:val="bottom"/>
            <w:tcBorders>
              <w:bottom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400" w:type="dxa"/>
            <w:vAlign w:val="bottom"/>
          </w:tcPr>
          <w:p>
            <w:pPr>
              <w:spacing w:after="0"/>
              <w:rPr>
                <w:sz w:val="24"/>
                <w:szCs w:val="24"/>
                <w:color w:val="auto"/>
              </w:rPr>
            </w:pPr>
          </w:p>
        </w:tc>
        <w:tc>
          <w:tcPr>
            <w:tcW w:w="1720" w:type="dxa"/>
            <w:vAlign w:val="bottom"/>
          </w:tcPr>
          <w:p>
            <w:pPr>
              <w:ind w:left="520"/>
              <w:spacing w:after="0"/>
              <w:rPr>
                <w:sz w:val="20"/>
                <w:szCs w:val="20"/>
                <w:color w:val="auto"/>
              </w:rPr>
            </w:pPr>
            <w:r>
              <w:rPr>
                <w:rFonts w:ascii="Arial" w:cs="Arial" w:eastAsia="Arial" w:hAnsi="Arial"/>
                <w:sz w:val="16"/>
                <w:szCs w:val="16"/>
                <w:color w:val="431C5B"/>
              </w:rPr>
              <w:t>Kenneth T.</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rPr>
              <w:t>CC</w:t>
            </w: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Former CEO,</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00" w:type="dxa"/>
            <w:vAlign w:val="bottom"/>
          </w:tcPr>
          <w:p>
            <w:pPr>
              <w:spacing w:after="0"/>
              <w:rPr>
                <w:sz w:val="3"/>
                <w:szCs w:val="3"/>
                <w:color w:val="auto"/>
              </w:rPr>
            </w:pPr>
          </w:p>
        </w:tc>
        <w:tc>
          <w:tcPr>
            <w:tcW w:w="1720" w:type="dxa"/>
            <w:vAlign w:val="bottom"/>
            <w:vMerge w:val="restart"/>
          </w:tcPr>
          <w:p>
            <w:pPr>
              <w:ind w:left="520"/>
              <w:spacing w:after="0"/>
              <w:rPr>
                <w:sz w:val="20"/>
                <w:szCs w:val="20"/>
                <w:color w:val="auto"/>
              </w:rPr>
            </w:pPr>
            <w:r>
              <w:rPr>
                <w:rFonts w:ascii="Arial" w:cs="Arial" w:eastAsia="Arial" w:hAnsi="Arial"/>
                <w:sz w:val="16"/>
                <w:szCs w:val="16"/>
                <w:color w:val="431C5B"/>
              </w:rPr>
              <w:t>Lamneck</w:t>
            </w: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318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360" w:type="dxa"/>
            <w:vAlign w:val="bottom"/>
            <w:vMerge w:val="restart"/>
          </w:tcPr>
          <w:p>
            <w:pPr>
              <w:jc w:val="right"/>
              <w:ind w:right="19"/>
              <w:spacing w:after="0"/>
              <w:rPr>
                <w:sz w:val="20"/>
                <w:szCs w:val="20"/>
                <w:color w:val="auto"/>
              </w:rPr>
            </w:pPr>
            <w:r>
              <w:rPr>
                <w:rFonts w:ascii="Arial" w:cs="Arial" w:eastAsia="Arial" w:hAnsi="Arial"/>
                <w:sz w:val="16"/>
                <w:szCs w:val="16"/>
                <w:color w:val="auto"/>
              </w:rPr>
              <w:t>71</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2022</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CGNSC</w:t>
            </w:r>
          </w:p>
        </w:tc>
        <w:tc>
          <w:tcPr>
            <w:tcW w:w="3180" w:type="dxa"/>
            <w:vAlign w:val="bottom"/>
            <w:vMerge w:val="continue"/>
          </w:tcPr>
          <w:p>
            <w:pPr>
              <w:spacing w:after="0"/>
              <w:rPr>
                <w:sz w:val="10"/>
                <w:szCs w:val="10"/>
                <w:color w:val="auto"/>
              </w:rPr>
            </w:pPr>
          </w:p>
        </w:tc>
        <w:tc>
          <w:tcPr>
            <w:tcW w:w="11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96"/>
        </w:trPr>
        <w:tc>
          <w:tcPr>
            <w:tcW w:w="40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Insight Enterprises,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rPr>
              <w:t>EC</w:t>
            </w:r>
          </w:p>
        </w:tc>
        <w:tc>
          <w:tcPr>
            <w:tcW w:w="31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3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400" w:type="dxa"/>
            <w:vAlign w:val="bottom"/>
            <w:tcBorders>
              <w:bottom w:val="single" w:sz="8" w:color="CCCCCC"/>
            </w:tcBorders>
          </w:tcPr>
          <w:p>
            <w:pPr>
              <w:spacing w:after="0"/>
              <w:rPr>
                <w:sz w:val="10"/>
                <w:szCs w:val="10"/>
                <w:color w:val="auto"/>
              </w:rPr>
            </w:pPr>
          </w:p>
        </w:tc>
        <w:tc>
          <w:tcPr>
            <w:tcW w:w="1720" w:type="dxa"/>
            <w:vAlign w:val="bottom"/>
            <w:tcBorders>
              <w:bottom w:val="single" w:sz="8" w:color="CCCCCC"/>
            </w:tcBorders>
          </w:tcPr>
          <w:p>
            <w:pPr>
              <w:spacing w:after="0"/>
              <w:rPr>
                <w:sz w:val="10"/>
                <w:szCs w:val="10"/>
                <w:color w:val="auto"/>
              </w:rPr>
            </w:pPr>
          </w:p>
        </w:tc>
        <w:tc>
          <w:tcPr>
            <w:tcW w:w="36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spacing w:after="0"/>
              <w:rPr>
                <w:sz w:val="10"/>
                <w:szCs w:val="10"/>
                <w:color w:val="auto"/>
              </w:rPr>
            </w:pPr>
          </w:p>
        </w:tc>
        <w:tc>
          <w:tcPr>
            <w:tcW w:w="1140" w:type="dxa"/>
            <w:vAlign w:val="bottom"/>
            <w:tcBorders>
              <w:bottom w:val="single" w:sz="8" w:color="CCCCCC"/>
            </w:tcBorders>
          </w:tcPr>
          <w:p>
            <w:pPr>
              <w:spacing w:after="0"/>
              <w:rPr>
                <w:sz w:val="10"/>
                <w:szCs w:val="10"/>
                <w:color w:val="auto"/>
              </w:rPr>
            </w:pPr>
          </w:p>
        </w:tc>
        <w:tc>
          <w:tcPr>
            <w:tcW w:w="3180" w:type="dxa"/>
            <w:vAlign w:val="bottom"/>
            <w:tcBorders>
              <w:bottom w:val="single" w:sz="8" w:color="CCCCCC"/>
            </w:tcBorders>
          </w:tcPr>
          <w:p>
            <w:pPr>
              <w:spacing w:after="0"/>
              <w:rPr>
                <w:sz w:val="10"/>
                <w:szCs w:val="10"/>
                <w:color w:val="auto"/>
              </w:rPr>
            </w:pPr>
          </w:p>
        </w:tc>
        <w:tc>
          <w:tcPr>
            <w:tcW w:w="1180" w:type="dxa"/>
            <w:vAlign w:val="bottom"/>
            <w:tcBorders>
              <w:bottom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400" w:type="dxa"/>
            <w:vAlign w:val="bottom"/>
          </w:tcPr>
          <w:p>
            <w:pPr>
              <w:spacing w:after="0"/>
              <w:rPr>
                <w:sz w:val="24"/>
                <w:szCs w:val="24"/>
                <w:color w:val="auto"/>
              </w:rPr>
            </w:pPr>
          </w:p>
        </w:tc>
        <w:tc>
          <w:tcPr>
            <w:tcW w:w="1720" w:type="dxa"/>
            <w:vAlign w:val="bottom"/>
          </w:tcPr>
          <w:p>
            <w:pPr>
              <w:ind w:left="520"/>
              <w:spacing w:after="0"/>
              <w:rPr>
                <w:sz w:val="20"/>
                <w:szCs w:val="20"/>
                <w:color w:val="auto"/>
              </w:rPr>
            </w:pPr>
            <w:r>
              <w:rPr>
                <w:rFonts w:ascii="Arial" w:cs="Arial" w:eastAsia="Arial" w:hAnsi="Arial"/>
                <w:sz w:val="16"/>
                <w:szCs w:val="16"/>
                <w:color w:val="431C5B"/>
              </w:rPr>
              <w:t>Gary L.</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5"/>
              </w:rPr>
              <w:t>CC</w:t>
            </w: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Executive Director and Co-Founder,</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0" w:type="dxa"/>
            <w:vAlign w:val="bottom"/>
          </w:tcPr>
          <w:p>
            <w:pPr>
              <w:spacing w:after="0"/>
              <w:rPr>
                <w:sz w:val="4"/>
                <w:szCs w:val="4"/>
                <w:color w:val="auto"/>
              </w:rPr>
            </w:pPr>
          </w:p>
        </w:tc>
        <w:tc>
          <w:tcPr>
            <w:tcW w:w="1720" w:type="dxa"/>
            <w:vAlign w:val="bottom"/>
            <w:vMerge w:val="restart"/>
          </w:tcPr>
          <w:p>
            <w:pPr>
              <w:ind w:left="520"/>
              <w:spacing w:after="0"/>
              <w:rPr>
                <w:sz w:val="20"/>
                <w:szCs w:val="20"/>
                <w:color w:val="auto"/>
              </w:rPr>
            </w:pPr>
            <w:r>
              <w:rPr>
                <w:rFonts w:ascii="Arial" w:cs="Arial" w:eastAsia="Arial" w:hAnsi="Arial"/>
                <w:sz w:val="16"/>
                <w:szCs w:val="16"/>
                <w:color w:val="431C5B"/>
              </w:rPr>
              <w:t>Lauer</w:t>
            </w: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31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4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360" w:type="dxa"/>
            <w:vAlign w:val="bottom"/>
            <w:vMerge w:val="restart"/>
          </w:tcPr>
          <w:p>
            <w:pPr>
              <w:jc w:val="right"/>
              <w:ind w:right="19"/>
              <w:spacing w:after="0"/>
              <w:rPr>
                <w:sz w:val="20"/>
                <w:szCs w:val="20"/>
                <w:color w:val="auto"/>
              </w:rPr>
            </w:pPr>
            <w:r>
              <w:rPr>
                <w:rFonts w:ascii="Arial" w:cs="Arial" w:eastAsia="Arial" w:hAnsi="Arial"/>
                <w:sz w:val="16"/>
                <w:szCs w:val="16"/>
                <w:color w:val="auto"/>
              </w:rPr>
              <w:t>73</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2019</w:t>
            </w: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rPr>
              <w:t>CGNSC</w:t>
            </w:r>
          </w:p>
        </w:tc>
        <w:tc>
          <w:tcPr>
            <w:tcW w:w="3180" w:type="dxa"/>
            <w:vAlign w:val="bottom"/>
            <w:vMerge w:val="continue"/>
          </w:tcPr>
          <w:p>
            <w:pPr>
              <w:spacing w:after="0"/>
              <w:rPr>
                <w:sz w:val="9"/>
                <w:szCs w:val="9"/>
                <w:color w:val="auto"/>
              </w:rPr>
            </w:pPr>
          </w:p>
        </w:tc>
        <w:tc>
          <w:tcPr>
            <w:tcW w:w="1180" w:type="dxa"/>
            <w:vAlign w:val="bottom"/>
            <w:vMerge w:val="restart"/>
          </w:tcPr>
          <w:p>
            <w:pPr>
              <w:jc w:val="center"/>
              <w:ind w:left="59"/>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Eminent Series Group</w:t>
            </w: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31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rPr>
              <w:t>EC</w:t>
            </w:r>
          </w:p>
        </w:tc>
        <w:tc>
          <w:tcPr>
            <w:tcW w:w="31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3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00" w:type="dxa"/>
            <w:vAlign w:val="bottom"/>
            <w:tcBorders>
              <w:bottom w:val="single" w:sz="8" w:color="CCCCCC"/>
            </w:tcBorders>
          </w:tcPr>
          <w:p>
            <w:pPr>
              <w:spacing w:after="0"/>
              <w:rPr>
                <w:sz w:val="9"/>
                <w:szCs w:val="9"/>
                <w:color w:val="auto"/>
              </w:rPr>
            </w:pPr>
          </w:p>
        </w:tc>
        <w:tc>
          <w:tcPr>
            <w:tcW w:w="1720" w:type="dxa"/>
            <w:vAlign w:val="bottom"/>
            <w:tcBorders>
              <w:bottom w:val="single" w:sz="8" w:color="CCCCCC"/>
            </w:tcBorders>
          </w:tcPr>
          <w:p>
            <w:pPr>
              <w:spacing w:after="0"/>
              <w:rPr>
                <w:sz w:val="9"/>
                <w:szCs w:val="9"/>
                <w:color w:val="auto"/>
              </w:rPr>
            </w:pPr>
          </w:p>
        </w:tc>
        <w:tc>
          <w:tcPr>
            <w:tcW w:w="360" w:type="dxa"/>
            <w:vAlign w:val="bottom"/>
            <w:tcBorders>
              <w:bottom w:val="single" w:sz="8" w:color="CCCCCC"/>
            </w:tcBorders>
          </w:tcPr>
          <w:p>
            <w:pPr>
              <w:spacing w:after="0"/>
              <w:rPr>
                <w:sz w:val="9"/>
                <w:szCs w:val="9"/>
                <w:color w:val="auto"/>
              </w:rPr>
            </w:pPr>
          </w:p>
        </w:tc>
        <w:tc>
          <w:tcPr>
            <w:tcW w:w="780" w:type="dxa"/>
            <w:vAlign w:val="bottom"/>
            <w:tcBorders>
              <w:bottom w:val="single" w:sz="8" w:color="CCCCCC"/>
            </w:tcBorders>
          </w:tcPr>
          <w:p>
            <w:pPr>
              <w:spacing w:after="0"/>
              <w:rPr>
                <w:sz w:val="9"/>
                <w:szCs w:val="9"/>
                <w:color w:val="auto"/>
              </w:rPr>
            </w:pPr>
          </w:p>
        </w:tc>
        <w:tc>
          <w:tcPr>
            <w:tcW w:w="1140" w:type="dxa"/>
            <w:vAlign w:val="bottom"/>
            <w:tcBorders>
              <w:bottom w:val="single" w:sz="8" w:color="CCCCCC"/>
            </w:tcBorders>
          </w:tcPr>
          <w:p>
            <w:pPr>
              <w:spacing w:after="0"/>
              <w:rPr>
                <w:sz w:val="9"/>
                <w:szCs w:val="9"/>
                <w:color w:val="auto"/>
              </w:rPr>
            </w:pPr>
          </w:p>
        </w:tc>
        <w:tc>
          <w:tcPr>
            <w:tcW w:w="3180" w:type="dxa"/>
            <w:vAlign w:val="bottom"/>
            <w:tcBorders>
              <w:bottom w:val="single" w:sz="8" w:color="CCCCCC"/>
            </w:tcBorders>
          </w:tcPr>
          <w:p>
            <w:pPr>
              <w:spacing w:after="0"/>
              <w:rPr>
                <w:sz w:val="9"/>
                <w:szCs w:val="9"/>
                <w:color w:val="auto"/>
              </w:rPr>
            </w:pPr>
          </w:p>
        </w:tc>
        <w:tc>
          <w:tcPr>
            <w:tcW w:w="1180" w:type="dxa"/>
            <w:vAlign w:val="bottom"/>
            <w:tcBorders>
              <w:bottom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400" w:type="dxa"/>
            <w:vAlign w:val="bottom"/>
          </w:tcPr>
          <w:p>
            <w:pPr>
              <w:spacing w:after="0"/>
              <w:rPr>
                <w:sz w:val="24"/>
                <w:szCs w:val="24"/>
                <w:color w:val="auto"/>
              </w:rPr>
            </w:pPr>
          </w:p>
        </w:tc>
        <w:tc>
          <w:tcPr>
            <w:tcW w:w="1720" w:type="dxa"/>
            <w:vAlign w:val="bottom"/>
          </w:tcPr>
          <w:p>
            <w:pPr>
              <w:ind w:left="520"/>
              <w:spacing w:after="0"/>
              <w:rPr>
                <w:sz w:val="20"/>
                <w:szCs w:val="20"/>
                <w:color w:val="auto"/>
              </w:rPr>
            </w:pPr>
            <w:r>
              <w:rPr>
                <w:rFonts w:ascii="Arial" w:cs="Arial" w:eastAsia="Arial" w:hAnsi="Arial"/>
                <w:sz w:val="16"/>
                <w:szCs w:val="16"/>
                <w:color w:val="431C5B"/>
              </w:rPr>
              <w:t>James B.</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rPr>
              <w:t>CC</w:t>
            </w:r>
          </w:p>
        </w:tc>
        <w:tc>
          <w:tcPr>
            <w:tcW w:w="3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720" w:type="dxa"/>
            <w:vAlign w:val="bottom"/>
            <w:vMerge w:val="restart"/>
          </w:tcPr>
          <w:p>
            <w:pPr>
              <w:ind w:left="520"/>
              <w:spacing w:after="0"/>
              <w:rPr>
                <w:sz w:val="20"/>
                <w:szCs w:val="20"/>
                <w:color w:val="auto"/>
              </w:rPr>
            </w:pPr>
            <w:r>
              <w:rPr>
                <w:rFonts w:ascii="Arial" w:cs="Arial" w:eastAsia="Arial" w:hAnsi="Arial"/>
                <w:sz w:val="16"/>
                <w:szCs w:val="16"/>
                <w:color w:val="431C5B"/>
              </w:rPr>
              <w:t>Stallings, Jr.</w:t>
            </w:r>
          </w:p>
        </w:tc>
        <w:tc>
          <w:tcPr>
            <w:tcW w:w="360" w:type="dxa"/>
            <w:vAlign w:val="bottom"/>
            <w:vMerge w:val="restart"/>
          </w:tcPr>
          <w:p>
            <w:pPr>
              <w:jc w:val="right"/>
              <w:ind w:right="19"/>
              <w:spacing w:after="0"/>
              <w:rPr>
                <w:sz w:val="20"/>
                <w:szCs w:val="20"/>
                <w:color w:val="auto"/>
              </w:rPr>
            </w:pPr>
            <w:r>
              <w:rPr>
                <w:rFonts w:ascii="Arial" w:cs="Arial" w:eastAsia="Arial" w:hAnsi="Arial"/>
                <w:sz w:val="16"/>
                <w:szCs w:val="16"/>
                <w:color w:val="auto"/>
              </w:rPr>
              <w:t>70</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2013</w:t>
            </w:r>
          </w:p>
        </w:tc>
        <w:tc>
          <w:tcPr>
            <w:tcW w:w="1140" w:type="dxa"/>
            <w:vAlign w:val="bottom"/>
            <w:vMerge w:val="continue"/>
          </w:tcPr>
          <w:p>
            <w:pPr>
              <w:spacing w:after="0"/>
              <w:rPr>
                <w:sz w:val="14"/>
                <w:szCs w:val="14"/>
                <w:color w:val="auto"/>
              </w:rPr>
            </w:pPr>
          </w:p>
        </w:tc>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CEO, PS27 Ventures, LLC</w:t>
            </w:r>
          </w:p>
        </w:tc>
        <w:tc>
          <w:tcPr>
            <w:tcW w:w="1180" w:type="dxa"/>
            <w:vAlign w:val="bottom"/>
            <w:vMerge w:val="restart"/>
          </w:tcPr>
          <w:p>
            <w:pPr>
              <w:jc w:val="center"/>
              <w:ind w:left="5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40" w:type="dxa"/>
            <w:vAlign w:val="bottom"/>
            <w:vMerge w:val="restart"/>
          </w:tcPr>
          <w:p>
            <w:pPr>
              <w:jc w:val="center"/>
              <w:ind w:left="179"/>
              <w:spacing w:after="0"/>
              <w:rPr>
                <w:sz w:val="20"/>
                <w:szCs w:val="20"/>
                <w:color w:val="auto"/>
              </w:rPr>
            </w:pPr>
            <w:r>
              <w:rPr>
                <w:rFonts w:ascii="Arial" w:cs="Arial" w:eastAsia="Arial" w:hAnsi="Arial"/>
                <w:sz w:val="16"/>
                <w:szCs w:val="16"/>
                <w:color w:val="auto"/>
              </w:rPr>
              <w:t>CGNSC</w:t>
            </w:r>
          </w:p>
        </w:tc>
        <w:tc>
          <w:tcPr>
            <w:tcW w:w="31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31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3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00" w:type="dxa"/>
            <w:vAlign w:val="bottom"/>
            <w:tcBorders>
              <w:bottom w:val="single" w:sz="8" w:color="431C5B"/>
            </w:tcBorders>
          </w:tcPr>
          <w:p>
            <w:pPr>
              <w:spacing w:after="0"/>
              <w:rPr>
                <w:sz w:val="18"/>
                <w:szCs w:val="18"/>
                <w:color w:val="auto"/>
              </w:rPr>
            </w:pPr>
          </w:p>
        </w:tc>
        <w:tc>
          <w:tcPr>
            <w:tcW w:w="1720" w:type="dxa"/>
            <w:vAlign w:val="bottom"/>
            <w:tcBorders>
              <w:bottom w:val="single" w:sz="8" w:color="431C5B"/>
            </w:tcBorders>
          </w:tcPr>
          <w:p>
            <w:pPr>
              <w:spacing w:after="0"/>
              <w:rPr>
                <w:sz w:val="18"/>
                <w:szCs w:val="18"/>
                <w:color w:val="auto"/>
              </w:rPr>
            </w:pPr>
          </w:p>
        </w:tc>
        <w:tc>
          <w:tcPr>
            <w:tcW w:w="360" w:type="dxa"/>
            <w:vAlign w:val="bottom"/>
            <w:tcBorders>
              <w:bottom w:val="single" w:sz="8" w:color="431C5B"/>
            </w:tcBorders>
          </w:tcPr>
          <w:p>
            <w:pPr>
              <w:spacing w:after="0"/>
              <w:rPr>
                <w:sz w:val="18"/>
                <w:szCs w:val="18"/>
                <w:color w:val="auto"/>
              </w:rPr>
            </w:pPr>
          </w:p>
        </w:tc>
        <w:tc>
          <w:tcPr>
            <w:tcW w:w="780" w:type="dxa"/>
            <w:vAlign w:val="bottom"/>
            <w:tcBorders>
              <w:bottom w:val="single" w:sz="8" w:color="431C5B"/>
            </w:tcBorders>
          </w:tcPr>
          <w:p>
            <w:pPr>
              <w:spacing w:after="0"/>
              <w:rPr>
                <w:sz w:val="18"/>
                <w:szCs w:val="18"/>
                <w:color w:val="auto"/>
              </w:rPr>
            </w:pPr>
          </w:p>
        </w:tc>
        <w:tc>
          <w:tcPr>
            <w:tcW w:w="4320" w:type="dxa"/>
            <w:vAlign w:val="bottom"/>
            <w:tcBorders>
              <w:bottom w:val="single" w:sz="8" w:color="431C5B"/>
            </w:tcBorders>
            <w:gridSpan w:val="2"/>
          </w:tcPr>
          <w:p>
            <w:pPr>
              <w:spacing w:after="0"/>
              <w:rPr>
                <w:sz w:val="18"/>
                <w:szCs w:val="18"/>
                <w:color w:val="auto"/>
              </w:rPr>
            </w:pPr>
          </w:p>
        </w:tc>
        <w:tc>
          <w:tcPr>
            <w:tcW w:w="1180" w:type="dxa"/>
            <w:vAlign w:val="bottom"/>
            <w:tcBorders>
              <w:bottom w:val="single" w:sz="8" w:color="431C5B"/>
            </w:tcBorders>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40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16"/>
                <w:szCs w:val="16"/>
                <w:color w:val="auto"/>
              </w:rPr>
              <w:t>Independent</w:t>
            </w:r>
          </w:p>
        </w:tc>
        <w:tc>
          <w:tcPr>
            <w:tcW w:w="3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6"/>
                <w:szCs w:val="16"/>
                <w:b w:val="1"/>
                <w:bCs w:val="1"/>
                <w:color w:val="auto"/>
              </w:rPr>
              <w:t>CC</w:t>
            </w: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Compensation Committee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1720" w:type="dxa"/>
            <w:vAlign w:val="bottom"/>
          </w:tcPr>
          <w:p>
            <w:pPr>
              <w:ind w:left="100"/>
              <w:spacing w:after="0"/>
              <w:rPr>
                <w:sz w:val="20"/>
                <w:szCs w:val="20"/>
                <w:color w:val="auto"/>
              </w:rPr>
            </w:pPr>
            <w:r>
              <w:rPr>
                <w:rFonts w:ascii="Arial" w:cs="Arial" w:eastAsia="Arial" w:hAnsi="Arial"/>
                <w:sz w:val="16"/>
                <w:szCs w:val="16"/>
                <w:color w:val="auto"/>
              </w:rPr>
              <w:t>Chair</w:t>
            </w:r>
          </w:p>
        </w:tc>
        <w:tc>
          <w:tcPr>
            <w:tcW w:w="360" w:type="dxa"/>
            <w:vAlign w:val="bottom"/>
          </w:tcPr>
          <w:p>
            <w:pPr>
              <w:spacing w:after="0"/>
              <w:rPr>
                <w:sz w:val="23"/>
                <w:szCs w:val="23"/>
                <w:color w:val="auto"/>
              </w:rPr>
            </w:pPr>
          </w:p>
        </w:tc>
        <w:tc>
          <w:tcPr>
            <w:tcW w:w="780" w:type="dxa"/>
            <w:vAlign w:val="bottom"/>
          </w:tcPr>
          <w:p>
            <w:pPr>
              <w:ind w:left="80"/>
              <w:spacing w:after="0"/>
              <w:rPr>
                <w:sz w:val="20"/>
                <w:szCs w:val="20"/>
                <w:color w:val="auto"/>
              </w:rPr>
            </w:pPr>
            <w:r>
              <w:rPr>
                <w:rFonts w:ascii="Arial" w:cs="Arial" w:eastAsia="Arial" w:hAnsi="Arial"/>
                <w:sz w:val="16"/>
                <w:szCs w:val="16"/>
                <w:b w:val="1"/>
                <w:bCs w:val="1"/>
                <w:color w:val="auto"/>
              </w:rPr>
              <w:t>CGNSC</w:t>
            </w:r>
          </w:p>
        </w:tc>
        <w:tc>
          <w:tcPr>
            <w:tcW w:w="5500" w:type="dxa"/>
            <w:vAlign w:val="bottom"/>
            <w:gridSpan w:val="3"/>
          </w:tcPr>
          <w:p>
            <w:pPr>
              <w:ind w:left="100"/>
              <w:spacing w:after="0"/>
              <w:rPr>
                <w:sz w:val="20"/>
                <w:szCs w:val="20"/>
                <w:color w:val="auto"/>
              </w:rPr>
            </w:pPr>
            <w:r>
              <w:rPr>
                <w:rFonts w:ascii="Arial" w:cs="Arial" w:eastAsia="Arial" w:hAnsi="Arial"/>
                <w:sz w:val="16"/>
                <w:szCs w:val="16"/>
                <w:color w:val="auto"/>
              </w:rPr>
              <w:t>Corporate Governance, Nominating and Sustainability Committee</w:t>
            </w:r>
          </w:p>
        </w:tc>
        <w:tc>
          <w:tcPr>
            <w:tcW w:w="0" w:type="dxa"/>
            <w:vAlign w:val="bottom"/>
          </w:tcPr>
          <w:p>
            <w:pPr>
              <w:spacing w:after="0"/>
              <w:rPr>
                <w:sz w:val="1"/>
                <w:szCs w:val="1"/>
                <w:color w:val="auto"/>
              </w:rPr>
            </w:pPr>
          </w:p>
        </w:tc>
      </w:tr>
      <w:tr>
        <w:trPr>
          <w:trHeight w:val="284"/>
        </w:trPr>
        <w:tc>
          <w:tcPr>
            <w:tcW w:w="400" w:type="dxa"/>
            <w:vAlign w:val="bottom"/>
          </w:tcPr>
          <w:p>
            <w:pPr>
              <w:ind w:left="80"/>
              <w:spacing w:after="0"/>
              <w:rPr>
                <w:sz w:val="20"/>
                <w:szCs w:val="20"/>
                <w:color w:val="auto"/>
              </w:rPr>
            </w:pPr>
            <w:r>
              <w:rPr>
                <w:rFonts w:ascii="Arial" w:cs="Arial" w:eastAsia="Arial" w:hAnsi="Arial"/>
                <w:sz w:val="16"/>
                <w:szCs w:val="16"/>
                <w:b w:val="1"/>
                <w:bCs w:val="1"/>
                <w:color w:val="auto"/>
              </w:rPr>
              <w:t>AC</w:t>
            </w:r>
          </w:p>
        </w:tc>
        <w:tc>
          <w:tcPr>
            <w:tcW w:w="1720" w:type="dxa"/>
            <w:vAlign w:val="bottom"/>
          </w:tcPr>
          <w:p>
            <w:pPr>
              <w:ind w:left="100"/>
              <w:spacing w:after="0"/>
              <w:rPr>
                <w:sz w:val="20"/>
                <w:szCs w:val="20"/>
                <w:color w:val="auto"/>
              </w:rPr>
            </w:pPr>
            <w:r>
              <w:rPr>
                <w:rFonts w:ascii="Arial" w:cs="Arial" w:eastAsia="Arial" w:hAnsi="Arial"/>
                <w:sz w:val="16"/>
                <w:szCs w:val="16"/>
                <w:color w:val="auto"/>
              </w:rPr>
              <w:t>Audit Committee</w:t>
            </w:r>
          </w:p>
        </w:tc>
        <w:tc>
          <w:tcPr>
            <w:tcW w:w="3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6"/>
                <w:szCs w:val="16"/>
                <w:b w:val="1"/>
                <w:bCs w:val="1"/>
                <w:color w:val="auto"/>
              </w:rPr>
              <w:t>RTC</w:t>
            </w: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Risk and Technology Committee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0" w:type="dxa"/>
            <w:vAlign w:val="bottom"/>
          </w:tcPr>
          <w:p>
            <w:pPr>
              <w:ind w:left="80"/>
              <w:spacing w:after="0"/>
              <w:rPr>
                <w:sz w:val="20"/>
                <w:szCs w:val="20"/>
                <w:color w:val="auto"/>
              </w:rPr>
            </w:pPr>
            <w:r>
              <w:rPr>
                <w:rFonts w:ascii="Arial" w:cs="Arial" w:eastAsia="Arial" w:hAnsi="Arial"/>
                <w:sz w:val="16"/>
                <w:szCs w:val="16"/>
                <w:b w:val="1"/>
                <w:bCs w:val="1"/>
                <w:color w:val="auto"/>
              </w:rPr>
              <w:t>EC</w:t>
            </w:r>
          </w:p>
        </w:tc>
        <w:tc>
          <w:tcPr>
            <w:tcW w:w="1720" w:type="dxa"/>
            <w:vAlign w:val="bottom"/>
          </w:tcPr>
          <w:p>
            <w:pPr>
              <w:ind w:left="100"/>
              <w:spacing w:after="0"/>
              <w:rPr>
                <w:sz w:val="20"/>
                <w:szCs w:val="20"/>
                <w:color w:val="auto"/>
              </w:rPr>
            </w:pPr>
            <w:r>
              <w:rPr>
                <w:rFonts w:ascii="Arial" w:cs="Arial" w:eastAsia="Arial" w:hAnsi="Arial"/>
                <w:sz w:val="16"/>
                <w:szCs w:val="16"/>
                <w:color w:val="auto"/>
              </w:rPr>
              <w:t>Executive Committee</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0" w:hanging="429"/>
        <w:spacing w:after="0"/>
        <w:tabs>
          <w:tab w:leader="none" w:pos="620" w:val="left"/>
        </w:tabs>
        <w:numPr>
          <w:ilvl w:val="0"/>
          <w:numId w:val="17"/>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13" w:name="page14"/>
    <w:bookmarkEnd w:id="13"/>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Proxy Summary</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Governance Policies and Practices Snapshot</w:t>
      </w:r>
    </w:p>
    <w:p>
      <w:pPr>
        <w:spacing w:after="0" w:line="107" w:lineRule="exact"/>
        <w:rPr>
          <w:sz w:val="20"/>
          <w:szCs w:val="20"/>
          <w:color w:val="auto"/>
        </w:rPr>
      </w:pPr>
    </w:p>
    <w:p>
      <w:pPr>
        <w:ind w:left="140" w:right="219"/>
        <w:spacing w:after="0" w:line="292" w:lineRule="auto"/>
        <w:rPr>
          <w:sz w:val="20"/>
          <w:szCs w:val="20"/>
          <w:color w:val="auto"/>
        </w:rPr>
      </w:pPr>
      <w:r>
        <w:rPr>
          <w:rFonts w:ascii="Arial" w:cs="Arial" w:eastAsia="Arial" w:hAnsi="Arial"/>
          <w:sz w:val="16"/>
          <w:szCs w:val="16"/>
          <w:color w:val="auto"/>
        </w:rPr>
        <w:t>In addition to a highly qualified, independent Board, we are committed to maintaining a corporate governance structure that provides strong oversight across FIS and promotes long-term shareholder value creation. Some key highlights of our Board and governance practices are set forth below:</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18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Topic</w:t>
            </w:r>
          </w:p>
        </w:tc>
        <w:tc>
          <w:tcPr>
            <w:tcW w:w="6580" w:type="dxa"/>
            <w:vAlign w:val="bottom"/>
            <w:tcBorders>
              <w:bottom w:val="single" w:sz="8" w:color="431C5B"/>
            </w:tcBorders>
            <w:gridSpan w:val="2"/>
          </w:tcPr>
          <w:p>
            <w:pPr>
              <w:ind w:left="140"/>
              <w:spacing w:after="0"/>
              <w:rPr>
                <w:sz w:val="20"/>
                <w:szCs w:val="20"/>
                <w:color w:val="auto"/>
              </w:rPr>
            </w:pPr>
            <w:r>
              <w:rPr>
                <w:rFonts w:ascii="Arial" w:cs="Arial" w:eastAsia="Arial" w:hAnsi="Arial"/>
                <w:sz w:val="14"/>
                <w:szCs w:val="14"/>
                <w:b w:val="1"/>
                <w:bCs w:val="1"/>
                <w:color w:val="431C5B"/>
              </w:rPr>
              <w:t>Practice</w:t>
            </w:r>
          </w:p>
        </w:tc>
      </w:tr>
      <w:tr>
        <w:trPr>
          <w:trHeight w:val="304"/>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Shareholder</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Annual election of directors with majority vote standard for uncontested elections</w:t>
            </w:r>
          </w:p>
        </w:tc>
      </w:tr>
      <w:tr>
        <w:trPr>
          <w:trHeight w:val="269"/>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Accountability</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Majority vote standard for charter and bylaw amendments</w:t>
            </w:r>
          </w:p>
        </w:tc>
      </w:tr>
      <w:tr>
        <w:trPr>
          <w:trHeight w:val="257"/>
        </w:trPr>
        <w:tc>
          <w:tcPr>
            <w:tcW w:w="2180" w:type="dxa"/>
            <w:vAlign w:val="bottom"/>
          </w:tcPr>
          <w:p>
            <w:pPr>
              <w:spacing w:after="0"/>
              <w:rPr>
                <w:sz w:val="22"/>
                <w:szCs w:val="22"/>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Annual say-on-pay vote</w:t>
            </w:r>
          </w:p>
        </w:tc>
      </w:tr>
      <w:tr>
        <w:trPr>
          <w:trHeight w:val="83"/>
        </w:trPr>
        <w:tc>
          <w:tcPr>
            <w:tcW w:w="2180" w:type="dxa"/>
            <w:vAlign w:val="bottom"/>
            <w:tcBorders>
              <w:bottom w:val="single" w:sz="8" w:color="E6E6E6"/>
            </w:tcBorders>
          </w:tcPr>
          <w:p>
            <w:pPr>
              <w:spacing w:after="0"/>
              <w:rPr>
                <w:sz w:val="7"/>
                <w:szCs w:val="7"/>
                <w:color w:val="auto"/>
              </w:rPr>
            </w:pPr>
          </w:p>
        </w:tc>
        <w:tc>
          <w:tcPr>
            <w:tcW w:w="6580" w:type="dxa"/>
            <w:vAlign w:val="bottom"/>
            <w:tcBorders>
              <w:bottom w:val="single" w:sz="8" w:color="E6E6E6"/>
            </w:tcBorders>
            <w:gridSpan w:val="2"/>
          </w:tcPr>
          <w:p>
            <w:pPr>
              <w:spacing w:after="0"/>
              <w:rPr>
                <w:sz w:val="7"/>
                <w:szCs w:val="7"/>
                <w:color w:val="auto"/>
              </w:rPr>
            </w:pPr>
          </w:p>
        </w:tc>
      </w:tr>
      <w:tr>
        <w:trPr>
          <w:trHeight w:val="283"/>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Board Refreshment</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Five out of nine directors standing for election were appointed in the last five years</w:t>
            </w:r>
          </w:p>
        </w:tc>
      </w:tr>
      <w:tr>
        <w:trPr>
          <w:trHeight w:val="250"/>
        </w:trPr>
        <w:tc>
          <w:tcPr>
            <w:tcW w:w="2180" w:type="dxa"/>
            <w:vAlign w:val="bottom"/>
          </w:tcPr>
          <w:p>
            <w:pPr>
              <w:spacing w:after="0"/>
              <w:rPr>
                <w:sz w:val="21"/>
                <w:szCs w:val="21"/>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Robust director succession planning with focus on Board candidates with strategically</w:t>
            </w:r>
          </w:p>
        </w:tc>
      </w:tr>
      <w:tr>
        <w:trPr>
          <w:trHeight w:val="215"/>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20" w:type="dxa"/>
            <w:vAlign w:val="bottom"/>
          </w:tcPr>
          <w:p>
            <w:pPr>
              <w:ind w:left="60"/>
              <w:spacing w:after="0"/>
              <w:rPr>
                <w:sz w:val="20"/>
                <w:szCs w:val="20"/>
                <w:color w:val="auto"/>
              </w:rPr>
            </w:pPr>
            <w:r>
              <w:rPr>
                <w:rFonts w:ascii="Arial" w:cs="Arial" w:eastAsia="Arial" w:hAnsi="Arial"/>
                <w:sz w:val="16"/>
                <w:szCs w:val="16"/>
                <w:color w:val="auto"/>
              </w:rPr>
              <w:t>important expertise and diverse experience, skills, and background</w:t>
            </w:r>
          </w:p>
        </w:tc>
      </w:tr>
      <w:tr>
        <w:trPr>
          <w:trHeight w:val="270"/>
        </w:trPr>
        <w:tc>
          <w:tcPr>
            <w:tcW w:w="2180" w:type="dxa"/>
            <w:vAlign w:val="bottom"/>
          </w:tcPr>
          <w:p>
            <w:pPr>
              <w:spacing w:after="0"/>
              <w:rPr>
                <w:sz w:val="23"/>
                <w:szCs w:val="23"/>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Regular rotation of Board committee assignments</w:t>
            </w:r>
          </w:p>
        </w:tc>
      </w:tr>
      <w:tr>
        <w:trPr>
          <w:trHeight w:val="270"/>
        </w:trPr>
        <w:tc>
          <w:tcPr>
            <w:tcW w:w="2180" w:type="dxa"/>
            <w:vAlign w:val="bottom"/>
          </w:tcPr>
          <w:p>
            <w:pPr>
              <w:spacing w:after="0"/>
              <w:rPr>
                <w:sz w:val="23"/>
                <w:szCs w:val="23"/>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Mandatory director retirement age of 75</w:t>
            </w:r>
          </w:p>
        </w:tc>
      </w:tr>
      <w:tr>
        <w:trPr>
          <w:trHeight w:val="69"/>
        </w:trPr>
        <w:tc>
          <w:tcPr>
            <w:tcW w:w="2180" w:type="dxa"/>
            <w:vAlign w:val="bottom"/>
            <w:tcBorders>
              <w:bottom w:val="single" w:sz="8" w:color="CCCCCC"/>
            </w:tcBorders>
          </w:tcPr>
          <w:p>
            <w:pPr>
              <w:spacing w:after="0"/>
              <w:rPr>
                <w:sz w:val="6"/>
                <w:szCs w:val="6"/>
                <w:color w:val="auto"/>
              </w:rPr>
            </w:pPr>
          </w:p>
        </w:tc>
        <w:tc>
          <w:tcPr>
            <w:tcW w:w="260" w:type="dxa"/>
            <w:vAlign w:val="bottom"/>
            <w:tcBorders>
              <w:bottom w:val="single" w:sz="8" w:color="CCCCCC"/>
            </w:tcBorders>
          </w:tcPr>
          <w:p>
            <w:pPr>
              <w:spacing w:after="0"/>
              <w:rPr>
                <w:sz w:val="6"/>
                <w:szCs w:val="6"/>
                <w:color w:val="auto"/>
              </w:rPr>
            </w:pPr>
          </w:p>
        </w:tc>
        <w:tc>
          <w:tcPr>
            <w:tcW w:w="6320" w:type="dxa"/>
            <w:vAlign w:val="bottom"/>
            <w:tcBorders>
              <w:bottom w:val="single" w:sz="8" w:color="CCCCCC"/>
            </w:tcBorders>
          </w:tcPr>
          <w:p>
            <w:pPr>
              <w:spacing w:after="0"/>
              <w:rPr>
                <w:sz w:val="6"/>
                <w:szCs w:val="6"/>
                <w:color w:val="auto"/>
              </w:rPr>
            </w:pPr>
          </w:p>
        </w:tc>
      </w:tr>
      <w:tr>
        <w:trPr>
          <w:trHeight w:val="276"/>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Director Independence</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6320" w:type="dxa"/>
            <w:vAlign w:val="bottom"/>
          </w:tcPr>
          <w:p>
            <w:pPr>
              <w:ind w:left="60"/>
              <w:spacing w:after="0"/>
              <w:rPr>
                <w:sz w:val="20"/>
                <w:szCs w:val="20"/>
                <w:color w:val="auto"/>
              </w:rPr>
            </w:pPr>
            <w:r>
              <w:rPr>
                <w:rFonts w:ascii="Arial" w:cs="Arial" w:eastAsia="Arial" w:hAnsi="Arial"/>
                <w:sz w:val="16"/>
                <w:szCs w:val="16"/>
                <w:color w:val="auto"/>
              </w:rPr>
              <w:t>Independent Board Chair</w:t>
            </w:r>
          </w:p>
        </w:tc>
      </w:tr>
      <w:tr>
        <w:trPr>
          <w:trHeight w:val="269"/>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and Commitment</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Eight out of nine director nominees are independent</w:t>
            </w:r>
          </w:p>
        </w:tc>
      </w:tr>
      <w:tr>
        <w:trPr>
          <w:trHeight w:val="257"/>
        </w:trPr>
        <w:tc>
          <w:tcPr>
            <w:tcW w:w="2180" w:type="dxa"/>
            <w:vAlign w:val="bottom"/>
          </w:tcPr>
          <w:p>
            <w:pPr>
              <w:spacing w:after="0"/>
              <w:rPr>
                <w:sz w:val="22"/>
                <w:szCs w:val="22"/>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Board committees comprised entirely of independent directors</w:t>
            </w:r>
          </w:p>
        </w:tc>
      </w:tr>
      <w:tr>
        <w:trPr>
          <w:trHeight w:val="270"/>
        </w:trPr>
        <w:tc>
          <w:tcPr>
            <w:tcW w:w="2180" w:type="dxa"/>
            <w:vAlign w:val="bottom"/>
          </w:tcPr>
          <w:p>
            <w:pPr>
              <w:spacing w:after="0"/>
              <w:rPr>
                <w:sz w:val="23"/>
                <w:szCs w:val="23"/>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Director time commitment policy for service on outside public Boards</w:t>
            </w:r>
          </w:p>
        </w:tc>
      </w:tr>
      <w:tr>
        <w:trPr>
          <w:trHeight w:val="258"/>
        </w:trPr>
        <w:tc>
          <w:tcPr>
            <w:tcW w:w="2180" w:type="dxa"/>
            <w:vAlign w:val="bottom"/>
          </w:tcPr>
          <w:p>
            <w:pPr>
              <w:spacing w:after="0"/>
              <w:rPr>
                <w:sz w:val="22"/>
                <w:szCs w:val="22"/>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Directors required to seek approval prior to joining any additional for-profit company</w:t>
            </w:r>
          </w:p>
        </w:tc>
      </w:tr>
      <w:tr>
        <w:trPr>
          <w:trHeight w:val="215"/>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20" w:type="dxa"/>
            <w:vAlign w:val="bottom"/>
          </w:tcPr>
          <w:p>
            <w:pPr>
              <w:ind w:left="60"/>
              <w:spacing w:after="0"/>
              <w:rPr>
                <w:sz w:val="20"/>
                <w:szCs w:val="20"/>
                <w:color w:val="auto"/>
              </w:rPr>
            </w:pPr>
            <w:r>
              <w:rPr>
                <w:rFonts w:ascii="Arial" w:cs="Arial" w:eastAsia="Arial" w:hAnsi="Arial"/>
                <w:sz w:val="16"/>
                <w:szCs w:val="16"/>
                <w:color w:val="auto"/>
              </w:rPr>
              <w:t>Board or audit committee, whether public or private</w:t>
            </w:r>
          </w:p>
        </w:tc>
      </w:tr>
      <w:tr>
        <w:trPr>
          <w:trHeight w:val="270"/>
        </w:trPr>
        <w:tc>
          <w:tcPr>
            <w:tcW w:w="2180" w:type="dxa"/>
            <w:vAlign w:val="bottom"/>
          </w:tcPr>
          <w:p>
            <w:pPr>
              <w:spacing w:after="0"/>
              <w:rPr>
                <w:sz w:val="23"/>
                <w:szCs w:val="23"/>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Each director attended more than 89% of all Board and committee meetings</w:t>
            </w:r>
          </w:p>
        </w:tc>
      </w:tr>
      <w:tr>
        <w:trPr>
          <w:trHeight w:val="70"/>
        </w:trPr>
        <w:tc>
          <w:tcPr>
            <w:tcW w:w="2180" w:type="dxa"/>
            <w:vAlign w:val="bottom"/>
            <w:tcBorders>
              <w:bottom w:val="single" w:sz="8" w:color="CCCCCC"/>
            </w:tcBorders>
          </w:tcPr>
          <w:p>
            <w:pPr>
              <w:spacing w:after="0"/>
              <w:rPr>
                <w:sz w:val="6"/>
                <w:szCs w:val="6"/>
                <w:color w:val="auto"/>
              </w:rPr>
            </w:pPr>
          </w:p>
        </w:tc>
        <w:tc>
          <w:tcPr>
            <w:tcW w:w="6580" w:type="dxa"/>
            <w:vAlign w:val="bottom"/>
            <w:tcBorders>
              <w:bottom w:val="single" w:sz="8" w:color="CCCCCC"/>
            </w:tcBorders>
            <w:gridSpan w:val="2"/>
          </w:tcPr>
          <w:p>
            <w:pPr>
              <w:spacing w:after="0"/>
              <w:rPr>
                <w:sz w:val="6"/>
                <w:szCs w:val="6"/>
                <w:color w:val="auto"/>
              </w:rPr>
            </w:pPr>
          </w:p>
        </w:tc>
      </w:tr>
      <w:tr>
        <w:trPr>
          <w:trHeight w:val="283"/>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Executive Sessions</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Independent directors meet regularly without management</w:t>
            </w:r>
          </w:p>
        </w:tc>
      </w:tr>
      <w:tr>
        <w:trPr>
          <w:trHeight w:val="88"/>
        </w:trPr>
        <w:tc>
          <w:tcPr>
            <w:tcW w:w="2180" w:type="dxa"/>
            <w:vAlign w:val="bottom"/>
            <w:tcBorders>
              <w:bottom w:val="single" w:sz="8" w:color="CCCCCC"/>
            </w:tcBorders>
          </w:tcPr>
          <w:p>
            <w:pPr>
              <w:spacing w:after="0"/>
              <w:rPr>
                <w:sz w:val="7"/>
                <w:szCs w:val="7"/>
                <w:color w:val="auto"/>
              </w:rPr>
            </w:pPr>
          </w:p>
        </w:tc>
        <w:tc>
          <w:tcPr>
            <w:tcW w:w="6580" w:type="dxa"/>
            <w:vAlign w:val="bottom"/>
            <w:tcBorders>
              <w:bottom w:val="single" w:sz="8" w:color="CCCCCC"/>
            </w:tcBorders>
            <w:gridSpan w:val="2"/>
          </w:tcPr>
          <w:p>
            <w:pPr>
              <w:spacing w:after="0"/>
              <w:rPr>
                <w:sz w:val="7"/>
                <w:szCs w:val="7"/>
                <w:color w:val="auto"/>
              </w:rPr>
            </w:pPr>
          </w:p>
        </w:tc>
      </w:tr>
      <w:tr>
        <w:trPr>
          <w:trHeight w:val="283"/>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Shareholder Rights</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One class of capital stock, with one vote per share</w:t>
            </w:r>
          </w:p>
        </w:tc>
      </w:tr>
      <w:tr>
        <w:trPr>
          <w:trHeight w:val="262"/>
        </w:trPr>
        <w:tc>
          <w:tcPr>
            <w:tcW w:w="2180" w:type="dxa"/>
            <w:vAlign w:val="bottom"/>
          </w:tcPr>
          <w:p>
            <w:pPr>
              <w:spacing w:after="0"/>
              <w:rPr>
                <w:sz w:val="22"/>
                <w:szCs w:val="22"/>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6320" w:type="dxa"/>
            <w:vAlign w:val="bottom"/>
          </w:tcPr>
          <w:p>
            <w:pPr>
              <w:ind w:left="60"/>
              <w:spacing w:after="0"/>
              <w:rPr>
                <w:sz w:val="20"/>
                <w:szCs w:val="20"/>
                <w:color w:val="auto"/>
              </w:rPr>
            </w:pPr>
            <w:r>
              <w:rPr>
                <w:rFonts w:ascii="Arial" w:cs="Arial" w:eastAsia="Arial" w:hAnsi="Arial"/>
                <w:sz w:val="16"/>
                <w:szCs w:val="16"/>
                <w:color w:val="auto"/>
              </w:rPr>
              <w:t>Proxy access</w:t>
            </w:r>
          </w:p>
        </w:tc>
      </w:tr>
      <w:tr>
        <w:trPr>
          <w:trHeight w:val="97"/>
        </w:trPr>
        <w:tc>
          <w:tcPr>
            <w:tcW w:w="2180" w:type="dxa"/>
            <w:vAlign w:val="bottom"/>
            <w:tcBorders>
              <w:bottom w:val="single" w:sz="8" w:color="CCCCCC"/>
            </w:tcBorders>
          </w:tcPr>
          <w:p>
            <w:pPr>
              <w:spacing w:after="0"/>
              <w:rPr>
                <w:sz w:val="8"/>
                <w:szCs w:val="8"/>
                <w:color w:val="auto"/>
              </w:rPr>
            </w:pPr>
          </w:p>
        </w:tc>
        <w:tc>
          <w:tcPr>
            <w:tcW w:w="6580" w:type="dxa"/>
            <w:vAlign w:val="bottom"/>
            <w:tcBorders>
              <w:bottom w:val="single" w:sz="8" w:color="CCCCCC"/>
            </w:tcBorders>
            <w:gridSpan w:val="2"/>
          </w:tcPr>
          <w:p>
            <w:pPr>
              <w:spacing w:after="0"/>
              <w:rPr>
                <w:sz w:val="8"/>
                <w:szCs w:val="8"/>
                <w:color w:val="auto"/>
              </w:rPr>
            </w:pPr>
          </w:p>
        </w:tc>
      </w:tr>
      <w:tr>
        <w:trPr>
          <w:trHeight w:val="276"/>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Sustainability</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Board-level oversight of sustainability initiatives through the Corporate Governance,</w:t>
            </w:r>
          </w:p>
        </w:tc>
      </w:tr>
      <w:tr>
        <w:trPr>
          <w:trHeight w:val="215"/>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20" w:type="dxa"/>
            <w:vAlign w:val="bottom"/>
          </w:tcPr>
          <w:p>
            <w:pPr>
              <w:ind w:left="60"/>
              <w:spacing w:after="0"/>
              <w:rPr>
                <w:sz w:val="20"/>
                <w:szCs w:val="20"/>
                <w:color w:val="auto"/>
              </w:rPr>
            </w:pPr>
            <w:r>
              <w:rPr>
                <w:rFonts w:ascii="Arial" w:cs="Arial" w:eastAsia="Arial" w:hAnsi="Arial"/>
                <w:sz w:val="16"/>
                <w:szCs w:val="16"/>
                <w:color w:val="auto"/>
              </w:rPr>
              <w:t>Nominating and Sustainability Committee</w:t>
            </w:r>
          </w:p>
        </w:tc>
      </w:tr>
      <w:tr>
        <w:trPr>
          <w:trHeight w:val="257"/>
        </w:trPr>
        <w:tc>
          <w:tcPr>
            <w:tcW w:w="2180" w:type="dxa"/>
            <w:vAlign w:val="bottom"/>
          </w:tcPr>
          <w:p>
            <w:pPr>
              <w:spacing w:after="0"/>
              <w:rPr>
                <w:sz w:val="22"/>
                <w:szCs w:val="22"/>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Independent limited assurance of select sustainability metrics</w:t>
            </w:r>
          </w:p>
        </w:tc>
      </w:tr>
      <w:tr>
        <w:trPr>
          <w:trHeight w:val="83"/>
        </w:trPr>
        <w:tc>
          <w:tcPr>
            <w:tcW w:w="2180" w:type="dxa"/>
            <w:vAlign w:val="bottom"/>
            <w:tcBorders>
              <w:bottom w:val="single" w:sz="8" w:color="CCCCCC"/>
            </w:tcBorders>
          </w:tcPr>
          <w:p>
            <w:pPr>
              <w:spacing w:after="0"/>
              <w:rPr>
                <w:sz w:val="7"/>
                <w:szCs w:val="7"/>
                <w:color w:val="auto"/>
              </w:rPr>
            </w:pPr>
          </w:p>
        </w:tc>
        <w:tc>
          <w:tcPr>
            <w:tcW w:w="6580" w:type="dxa"/>
            <w:vAlign w:val="bottom"/>
            <w:tcBorders>
              <w:bottom w:val="single" w:sz="8" w:color="CCCCCC"/>
            </w:tcBorders>
            <w:gridSpan w:val="2"/>
          </w:tcPr>
          <w:p>
            <w:pPr>
              <w:spacing w:after="0"/>
              <w:rPr>
                <w:sz w:val="7"/>
                <w:szCs w:val="7"/>
                <w:color w:val="auto"/>
              </w:rPr>
            </w:pPr>
          </w:p>
        </w:tc>
      </w:tr>
      <w:tr>
        <w:trPr>
          <w:trHeight w:val="276"/>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Executive and Director</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Robust stock ownership guidelines for executive officers and directors</w:t>
            </w:r>
          </w:p>
        </w:tc>
      </w:tr>
      <w:tr>
        <w:trPr>
          <w:trHeight w:val="269"/>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Stock Ownership</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All executives and directors own FIS stock or restricted stock units</w:t>
            </w:r>
          </w:p>
        </w:tc>
      </w:tr>
      <w:tr>
        <w:trPr>
          <w:trHeight w:val="96"/>
        </w:trPr>
        <w:tc>
          <w:tcPr>
            <w:tcW w:w="2180" w:type="dxa"/>
            <w:vAlign w:val="bottom"/>
            <w:tcBorders>
              <w:bottom w:val="single" w:sz="8" w:color="CCCCCC"/>
            </w:tcBorders>
          </w:tcPr>
          <w:p>
            <w:pPr>
              <w:spacing w:after="0"/>
              <w:rPr>
                <w:sz w:val="8"/>
                <w:szCs w:val="8"/>
                <w:color w:val="auto"/>
              </w:rPr>
            </w:pPr>
          </w:p>
        </w:tc>
        <w:tc>
          <w:tcPr>
            <w:tcW w:w="6580" w:type="dxa"/>
            <w:vAlign w:val="bottom"/>
            <w:tcBorders>
              <w:bottom w:val="single" w:sz="8" w:color="CCCCCC"/>
            </w:tcBorders>
            <w:gridSpan w:val="2"/>
          </w:tcPr>
          <w:p>
            <w:pPr>
              <w:spacing w:after="0"/>
              <w:rPr>
                <w:sz w:val="8"/>
                <w:szCs w:val="8"/>
                <w:color w:val="auto"/>
              </w:rPr>
            </w:pPr>
          </w:p>
        </w:tc>
      </w:tr>
      <w:tr>
        <w:trPr>
          <w:trHeight w:val="283"/>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Board Self-Evaluations</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Annual Board and committee self-evaluations</w:t>
            </w:r>
          </w:p>
        </w:tc>
      </w:tr>
      <w:tr>
        <w:trPr>
          <w:trHeight w:val="262"/>
        </w:trPr>
        <w:tc>
          <w:tcPr>
            <w:tcW w:w="2180" w:type="dxa"/>
            <w:vAlign w:val="bottom"/>
          </w:tcPr>
          <w:p>
            <w:pPr>
              <w:spacing w:after="0"/>
              <w:rPr>
                <w:sz w:val="22"/>
                <w:szCs w:val="22"/>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Comprehensive new director onboarding program</w:t>
            </w:r>
          </w:p>
        </w:tc>
      </w:tr>
      <w:tr>
        <w:trPr>
          <w:trHeight w:val="257"/>
        </w:trPr>
        <w:tc>
          <w:tcPr>
            <w:tcW w:w="2180" w:type="dxa"/>
            <w:vAlign w:val="bottom"/>
          </w:tcPr>
          <w:p>
            <w:pPr>
              <w:spacing w:after="0"/>
              <w:rPr>
                <w:sz w:val="22"/>
                <w:szCs w:val="22"/>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Formalized director continuing education program</w:t>
            </w:r>
          </w:p>
        </w:tc>
      </w:tr>
      <w:tr>
        <w:trPr>
          <w:trHeight w:val="83"/>
        </w:trPr>
        <w:tc>
          <w:tcPr>
            <w:tcW w:w="2180" w:type="dxa"/>
            <w:vAlign w:val="bottom"/>
            <w:tcBorders>
              <w:bottom w:val="single" w:sz="8" w:color="CCCCCC"/>
            </w:tcBorders>
          </w:tcPr>
          <w:p>
            <w:pPr>
              <w:spacing w:after="0"/>
              <w:rPr>
                <w:sz w:val="7"/>
                <w:szCs w:val="7"/>
                <w:color w:val="auto"/>
              </w:rPr>
            </w:pPr>
          </w:p>
        </w:tc>
        <w:tc>
          <w:tcPr>
            <w:tcW w:w="6580" w:type="dxa"/>
            <w:vAlign w:val="bottom"/>
            <w:tcBorders>
              <w:bottom w:val="single" w:sz="8" w:color="CCCCCC"/>
            </w:tcBorders>
            <w:gridSpan w:val="2"/>
          </w:tcPr>
          <w:p>
            <w:pPr>
              <w:spacing w:after="0"/>
              <w:rPr>
                <w:sz w:val="7"/>
                <w:szCs w:val="7"/>
                <w:color w:val="auto"/>
              </w:rPr>
            </w:pPr>
          </w:p>
        </w:tc>
      </w:tr>
      <w:tr>
        <w:trPr>
          <w:trHeight w:val="276"/>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Shareholder Engagement</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Formal annual Board-led shareholder engagement program with director participation,</w:t>
            </w:r>
          </w:p>
        </w:tc>
      </w:tr>
      <w:tr>
        <w:trPr>
          <w:trHeight w:val="215"/>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20" w:type="dxa"/>
            <w:vAlign w:val="bottom"/>
          </w:tcPr>
          <w:p>
            <w:pPr>
              <w:ind w:left="60"/>
              <w:spacing w:after="0"/>
              <w:rPr>
                <w:sz w:val="20"/>
                <w:szCs w:val="20"/>
                <w:color w:val="auto"/>
              </w:rPr>
            </w:pPr>
            <w:r>
              <w:rPr>
                <w:rFonts w:ascii="Arial" w:cs="Arial" w:eastAsia="Arial" w:hAnsi="Arial"/>
                <w:sz w:val="16"/>
                <w:szCs w:val="16"/>
                <w:color w:val="auto"/>
              </w:rPr>
              <w:t>overseen by the Corporate Governance, Nominating and Sustainability Committee</w:t>
            </w:r>
          </w:p>
        </w:tc>
      </w:tr>
      <w:tr>
        <w:trPr>
          <w:trHeight w:val="97"/>
        </w:trPr>
        <w:tc>
          <w:tcPr>
            <w:tcW w:w="2180" w:type="dxa"/>
            <w:vAlign w:val="bottom"/>
            <w:tcBorders>
              <w:bottom w:val="single" w:sz="8" w:color="CCCCCC"/>
            </w:tcBorders>
          </w:tcPr>
          <w:p>
            <w:pPr>
              <w:spacing w:after="0"/>
              <w:rPr>
                <w:sz w:val="8"/>
                <w:szCs w:val="8"/>
                <w:color w:val="auto"/>
              </w:rPr>
            </w:pPr>
          </w:p>
        </w:tc>
        <w:tc>
          <w:tcPr>
            <w:tcW w:w="6580" w:type="dxa"/>
            <w:vAlign w:val="bottom"/>
            <w:tcBorders>
              <w:bottom w:val="single" w:sz="8" w:color="CCCCCC"/>
            </w:tcBorders>
            <w:gridSpan w:val="2"/>
          </w:tcPr>
          <w:p>
            <w:pPr>
              <w:spacing w:after="0"/>
              <w:rPr>
                <w:sz w:val="8"/>
                <w:szCs w:val="8"/>
                <w:color w:val="auto"/>
              </w:rPr>
            </w:pPr>
          </w:p>
        </w:tc>
      </w:tr>
      <w:tr>
        <w:trPr>
          <w:trHeight w:val="276"/>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Risk Oversight</w:t>
            </w: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Regular review of the Company’s risk profile, including risks associated with</w:t>
            </w:r>
          </w:p>
        </w:tc>
      </w:tr>
      <w:tr>
        <w:trPr>
          <w:trHeight w:val="215"/>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20" w:type="dxa"/>
            <w:vAlign w:val="bottom"/>
          </w:tcPr>
          <w:p>
            <w:pPr>
              <w:ind w:left="60"/>
              <w:spacing w:after="0"/>
              <w:rPr>
                <w:sz w:val="20"/>
                <w:szCs w:val="20"/>
                <w:color w:val="auto"/>
              </w:rPr>
            </w:pPr>
            <w:r>
              <w:rPr>
                <w:rFonts w:ascii="Arial" w:cs="Arial" w:eastAsia="Arial" w:hAnsi="Arial"/>
                <w:sz w:val="16"/>
                <w:szCs w:val="16"/>
                <w:color w:val="auto"/>
              </w:rPr>
              <w:t>cybersecurity, human capital management, climate change and severe weather events</w:t>
            </w:r>
          </w:p>
        </w:tc>
      </w:tr>
      <w:tr>
        <w:trPr>
          <w:trHeight w:val="257"/>
        </w:trPr>
        <w:tc>
          <w:tcPr>
            <w:tcW w:w="2180" w:type="dxa"/>
            <w:vAlign w:val="bottom"/>
          </w:tcPr>
          <w:p>
            <w:pPr>
              <w:spacing w:after="0"/>
              <w:rPr>
                <w:sz w:val="22"/>
                <w:szCs w:val="22"/>
                <w:color w:val="auto"/>
              </w:rPr>
            </w:pPr>
          </w:p>
        </w:tc>
        <w:tc>
          <w:tcPr>
            <w:tcW w:w="6580" w:type="dxa"/>
            <w:vAlign w:val="bottom"/>
            <w:gridSpan w:val="2"/>
          </w:tcPr>
          <w:p>
            <w:pPr>
              <w:ind w:left="140"/>
              <w:spacing w:after="0"/>
              <w:rPr>
                <w:sz w:val="20"/>
                <w:szCs w:val="20"/>
                <w:color w:val="auto"/>
              </w:rPr>
            </w:pPr>
            <w:r>
              <w:rPr>
                <w:rFonts w:ascii="Arial" w:cs="Arial" w:eastAsia="Arial" w:hAnsi="Arial"/>
                <w:sz w:val="16"/>
                <w:szCs w:val="16"/>
                <w:color w:val="auto"/>
              </w:rPr>
              <w:t>•  Risk and Technology Committee oversees Enterprise Risk Management (ERM)</w:t>
            </w:r>
          </w:p>
        </w:tc>
      </w:tr>
      <w:tr>
        <w:trPr>
          <w:trHeight w:val="69"/>
        </w:trPr>
        <w:tc>
          <w:tcPr>
            <w:tcW w:w="2180" w:type="dxa"/>
            <w:vAlign w:val="bottom"/>
            <w:tcBorders>
              <w:bottom w:val="single" w:sz="8" w:color="431C5B"/>
            </w:tcBorders>
          </w:tcPr>
          <w:p>
            <w:pPr>
              <w:spacing w:after="0"/>
              <w:rPr>
                <w:sz w:val="6"/>
                <w:szCs w:val="6"/>
                <w:color w:val="auto"/>
              </w:rPr>
            </w:pPr>
          </w:p>
        </w:tc>
        <w:tc>
          <w:tcPr>
            <w:tcW w:w="260" w:type="dxa"/>
            <w:vAlign w:val="bottom"/>
            <w:tcBorders>
              <w:bottom w:val="single" w:sz="8" w:color="431C5B"/>
            </w:tcBorders>
          </w:tcPr>
          <w:p>
            <w:pPr>
              <w:spacing w:after="0"/>
              <w:rPr>
                <w:sz w:val="6"/>
                <w:szCs w:val="6"/>
                <w:color w:val="auto"/>
              </w:rPr>
            </w:pPr>
          </w:p>
        </w:tc>
        <w:tc>
          <w:tcPr>
            <w:tcW w:w="6320" w:type="dxa"/>
            <w:vAlign w:val="bottom"/>
            <w:tcBorders>
              <w:bottom w:val="single" w:sz="8" w:color="431C5B"/>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2"/>
          <w:szCs w:val="12"/>
          <w:b w:val="1"/>
          <w:bCs w:val="1"/>
          <w:color w:val="431C5B"/>
        </w:rPr>
        <w:t>11</w:t>
      </w:r>
    </w:p>
    <w:p>
      <w:pPr>
        <w:sectPr>
          <w:pgSz w:w="11900" w:h="16838" w:orient="portrait"/>
          <w:cols w:equalWidth="0" w:num="1">
            <w:col w:w="9019"/>
          </w:cols>
          <w:pgMar w:left="1440" w:top="657" w:right="1440" w:bottom="1440" w:gutter="0" w:footer="0" w:header="0"/>
          <w:type w:val="continuous"/>
        </w:sectPr>
      </w:pPr>
    </w:p>
    <w:bookmarkStart w:id="14" w:name="page15"/>
    <w:bookmarkEnd w:id="14"/>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Proxy Summary</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Shareholder Engagement</w:t>
      </w:r>
    </w:p>
    <w:p>
      <w:pPr>
        <w:spacing w:after="0" w:line="107" w:lineRule="exact"/>
        <w:rPr>
          <w:sz w:val="20"/>
          <w:szCs w:val="20"/>
          <w:color w:val="auto"/>
        </w:rPr>
      </w:pPr>
    </w:p>
    <w:p>
      <w:pPr>
        <w:jc w:val="both"/>
        <w:ind w:left="140" w:right="139"/>
        <w:spacing w:after="0" w:line="289" w:lineRule="auto"/>
        <w:rPr>
          <w:sz w:val="20"/>
          <w:szCs w:val="20"/>
          <w:color w:val="auto"/>
        </w:rPr>
      </w:pPr>
      <w:r>
        <w:rPr>
          <w:rFonts w:ascii="Arial" w:cs="Arial" w:eastAsia="Arial" w:hAnsi="Arial"/>
          <w:sz w:val="16"/>
          <w:szCs w:val="16"/>
          <w:color w:val="auto"/>
        </w:rPr>
        <w:t>FIS believes that engagement with our shareholders is critical for delivering sustainable, long-term value and ensuring that our Board and management understand shareholder priorities and work to address them effectively. As such, we maintain an ongoing, proactive engagement program with participation by independent directors, which is overseen by our Board’s Corporate Governance, Nominating and Sustainability Committee.</w:t>
      </w:r>
    </w:p>
    <w:p>
      <w:pPr>
        <w:spacing w:after="0" w:line="113" w:lineRule="exact"/>
        <w:rPr>
          <w:sz w:val="20"/>
          <w:szCs w:val="20"/>
          <w:color w:val="auto"/>
        </w:rPr>
      </w:pPr>
    </w:p>
    <w:p>
      <w:pPr>
        <w:ind w:left="140" w:right="379"/>
        <w:spacing w:after="0" w:line="289" w:lineRule="auto"/>
        <w:rPr>
          <w:sz w:val="20"/>
          <w:szCs w:val="20"/>
          <w:color w:val="auto"/>
        </w:rPr>
      </w:pPr>
      <w:r>
        <w:rPr>
          <w:rFonts w:ascii="Arial" w:cs="Arial" w:eastAsia="Arial" w:hAnsi="Arial"/>
          <w:sz w:val="16"/>
          <w:szCs w:val="16"/>
          <w:color w:val="auto"/>
        </w:rPr>
        <w:t>The feedback received through these engagements is shared with the Board on a regular basis and enables our Board to consider a broad range of perspectives in boardroom discussions. Many of the changes to our compensation, governance and sustainability programs implemented over the last several years have been informed by views and insights gathered through our shareholder engagement program.</w:t>
      </w:r>
    </w:p>
    <w:p>
      <w:pPr>
        <w:spacing w:after="0" w:line="126" w:lineRule="exact"/>
        <w:rPr>
          <w:sz w:val="20"/>
          <w:szCs w:val="20"/>
          <w:color w:val="auto"/>
        </w:rPr>
      </w:pPr>
    </w:p>
    <w:p>
      <w:pPr>
        <w:ind w:left="140" w:right="159"/>
        <w:spacing w:after="0" w:line="283" w:lineRule="auto"/>
        <w:rPr>
          <w:sz w:val="20"/>
          <w:szCs w:val="20"/>
          <w:color w:val="auto"/>
        </w:rPr>
      </w:pPr>
      <w:r>
        <w:rPr>
          <w:rFonts w:ascii="Arial" w:cs="Arial" w:eastAsia="Arial" w:hAnsi="Arial"/>
          <w:sz w:val="16"/>
          <w:szCs w:val="16"/>
          <w:color w:val="auto"/>
        </w:rPr>
        <w:t xml:space="preserve">In early 2026, we offered engagement meetings to shareholders owning, in the aggregate, over 40% of our outstanding shares, </w:t>
      </w:r>
      <w:r>
        <w:rPr>
          <w:rFonts w:ascii="Arial" w:cs="Arial" w:eastAsia="Arial" w:hAnsi="Arial"/>
          <w:sz w:val="16"/>
          <w:szCs w:val="16"/>
          <w:color w:val="auto"/>
          <w:highlight w:val="white"/>
        </w:rPr>
        <w:t>and members of our management team and our Independent Chair met with all shareholders who accepted our</w:t>
      </w:r>
      <w:r>
        <w:rPr>
          <w:rFonts w:ascii="Arial" w:cs="Arial" w:eastAsia="Arial" w:hAnsi="Arial"/>
          <w:sz w:val="16"/>
          <w:szCs w:val="16"/>
          <w:color w:val="auto"/>
        </w:rPr>
        <w:t xml:space="preserve"> </w:t>
      </w:r>
      <w:r>
        <w:rPr>
          <w:rFonts w:ascii="Arial" w:cs="Arial" w:eastAsia="Arial" w:hAnsi="Arial"/>
          <w:sz w:val="16"/>
          <w:szCs w:val="16"/>
          <w:color w:val="auto"/>
          <w:highlight w:val="white"/>
        </w:rPr>
        <w:t>offer to engage. Many of the shareholders to whom we offered engagement meetings replied that they had no concerns or questions that they wanted to discuss.</w:t>
      </w:r>
    </w:p>
    <w:p>
      <w:pPr>
        <w:spacing w:after="0" w:line="36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431C5B"/>
          <w:shd w:val="clear" w:color="auto" w:fill="EEFAEC"/>
        </w:rPr>
        <w:t>Topics discussed during our engagement program over the last year:</w:t>
      </w:r>
    </w:p>
    <w:p>
      <w:pPr>
        <w:spacing w:after="0" w:line="262" w:lineRule="exact"/>
        <w:rPr>
          <w:sz w:val="20"/>
          <w:szCs w:val="20"/>
          <w:color w:val="auto"/>
        </w:rPr>
      </w:pPr>
    </w:p>
    <w:p>
      <w:pPr>
        <w:ind w:left="540" w:hanging="187"/>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execution on our strategic vision to unlock financial technology to the world across the money lifecycle</w:t>
      </w:r>
    </w:p>
    <w:p>
      <w:pPr>
        <w:spacing w:after="0" w:line="72" w:lineRule="exact"/>
        <w:rPr>
          <w:rFonts w:ascii="Arial" w:cs="Arial" w:eastAsia="Arial" w:hAnsi="Arial"/>
          <w:sz w:val="16"/>
          <w:szCs w:val="16"/>
          <w:color w:val="auto"/>
        </w:rPr>
      </w:pPr>
    </w:p>
    <w:p>
      <w:pPr>
        <w:ind w:left="540" w:right="479" w:hanging="187"/>
        <w:spacing w:after="0" w:line="29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progress in refocusing and simplifying our business, improving client centricity, deploying AI, and strengthening our financial position, including through the acquisition of the FIS Total Issuing Solutions business and the sale of our remaining equity interest in Worldpay to Global Payments</w:t>
      </w:r>
    </w:p>
    <w:p>
      <w:pPr>
        <w:spacing w:after="0" w:line="16" w:lineRule="exact"/>
        <w:rPr>
          <w:rFonts w:ascii="Arial" w:cs="Arial" w:eastAsia="Arial" w:hAnsi="Arial"/>
          <w:sz w:val="16"/>
          <w:szCs w:val="16"/>
          <w:color w:val="auto"/>
        </w:rPr>
      </w:pPr>
    </w:p>
    <w:p>
      <w:pPr>
        <w:ind w:left="540" w:hanging="187"/>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Board composition, including the appointment of three new independent directors since 2024</w:t>
      </w:r>
    </w:p>
    <w:p>
      <w:pPr>
        <w:spacing w:after="0" w:line="86" w:lineRule="exact"/>
        <w:rPr>
          <w:rFonts w:ascii="Arial" w:cs="Arial" w:eastAsia="Arial" w:hAnsi="Arial"/>
          <w:sz w:val="16"/>
          <w:szCs w:val="16"/>
          <w:color w:val="auto"/>
        </w:rPr>
      </w:pPr>
    </w:p>
    <w:p>
      <w:pPr>
        <w:ind w:left="540" w:hanging="187"/>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Board oversight of key subject areas, including strategy, capital allocation, AI and succession planning</w:t>
      </w:r>
    </w:p>
    <w:p>
      <w:pPr>
        <w:spacing w:after="0" w:line="72" w:lineRule="exact"/>
        <w:rPr>
          <w:rFonts w:ascii="Arial" w:cs="Arial" w:eastAsia="Arial" w:hAnsi="Arial"/>
          <w:sz w:val="16"/>
          <w:szCs w:val="16"/>
          <w:color w:val="auto"/>
        </w:rPr>
      </w:pPr>
    </w:p>
    <w:p>
      <w:pPr>
        <w:ind w:left="540" w:right="879" w:hanging="187"/>
        <w:spacing w:after="0" w:line="321"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executive compensation program philosophy and structure, and adjustments we made to the program in 2025</w:t>
      </w:r>
    </w:p>
    <w:p>
      <w:pPr>
        <w:spacing w:after="0" w:line="291" w:lineRule="exact"/>
        <w:rPr>
          <w:sz w:val="20"/>
          <w:szCs w:val="20"/>
          <w:color w:val="auto"/>
        </w:rPr>
      </w:pPr>
    </w:p>
    <w:p>
      <w:pPr>
        <w:jc w:val="both"/>
        <w:ind w:left="140" w:right="339"/>
        <w:spacing w:after="0" w:line="304" w:lineRule="auto"/>
        <w:rPr>
          <w:sz w:val="20"/>
          <w:szCs w:val="20"/>
          <w:color w:val="auto"/>
        </w:rPr>
      </w:pPr>
      <w:r>
        <w:rPr>
          <w:rFonts w:ascii="Arial" w:cs="Arial" w:eastAsia="Arial" w:hAnsi="Arial"/>
          <w:sz w:val="16"/>
          <w:szCs w:val="16"/>
          <w:color w:val="auto"/>
        </w:rPr>
        <w:t>Our shareholders were supportive of the Company’s transformation plan and the progress made to date. This feedback was shared with our executive management team and the Board for incorporation into their decision-making processes.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0" w:hanging="429"/>
        <w:spacing w:after="0"/>
        <w:tabs>
          <w:tab w:leader="none" w:pos="620" w:val="left"/>
        </w:tabs>
        <w:numPr>
          <w:ilvl w:val="0"/>
          <w:numId w:val="19"/>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15" w:name="page16"/>
    <w:bookmarkEnd w:id="15"/>
    <w:p>
      <w:pPr>
        <w:ind w:left="778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Proxy Summary</w:t>
      </w:r>
    </w:p>
    <w:p>
      <w:pPr>
        <w:spacing w:after="0" w:line="200" w:lineRule="exact"/>
        <w:rPr>
          <w:sz w:val="20"/>
          <w:szCs w:val="20"/>
          <w:color w:val="auto"/>
        </w:rPr>
      </w:pPr>
    </w:p>
    <w:p>
      <w:pPr>
        <w:spacing w:after="0" w:line="32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431C5B"/>
        </w:rPr>
        <w:t>PROPOSAL 2</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36"/>
          <w:szCs w:val="36"/>
          <w:color w:val="auto"/>
        </w:rPr>
        <w:t>Advisory Vote on Executive Compensation</w:t>
      </w:r>
    </w:p>
    <w:p>
      <w:pPr>
        <w:spacing w:after="0" w:line="285" w:lineRule="exact"/>
        <w:rPr>
          <w:sz w:val="20"/>
          <w:szCs w:val="20"/>
          <w:color w:val="auto"/>
        </w:rPr>
      </w:pPr>
    </w:p>
    <w:p>
      <w:pPr>
        <w:ind w:left="640"/>
        <w:spacing w:after="0"/>
        <w:tabs>
          <w:tab w:leader="none" w:pos="7540" w:val="left"/>
        </w:tabs>
        <w:rPr>
          <w:sz w:val="20"/>
          <w:szCs w:val="20"/>
          <w:color w:val="auto"/>
        </w:rPr>
      </w:pPr>
      <w:r>
        <w:rPr>
          <w:rFonts w:ascii="Arial" w:cs="Arial" w:eastAsia="Arial" w:hAnsi="Arial"/>
          <w:sz w:val="16"/>
          <w:szCs w:val="16"/>
          <w:color w:val="FFFFFF"/>
        </w:rPr>
        <w:t xml:space="preserve">The Board recommends that the shareholders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this proposal.</w:t>
      </w:r>
      <w:r>
        <w:rPr>
          <w:sz w:val="20"/>
          <w:szCs w:val="20"/>
          <w:color w:val="auto"/>
        </w:rPr>
        <w:tab/>
      </w:r>
      <w:r>
        <w:rPr>
          <w:rFonts w:ascii="Arial" w:cs="Arial" w:eastAsia="Arial" w:hAnsi="Arial"/>
          <w:sz w:val="16"/>
          <w:szCs w:val="16"/>
          <w:color w:val="auto"/>
        </w:rPr>
        <w:t xml:space="preserve">See page </w:t>
      </w:r>
      <w:r>
        <w:rPr>
          <w:rFonts w:ascii="Arial" w:cs="Arial" w:eastAsia="Arial" w:hAnsi="Arial"/>
          <w:sz w:val="16"/>
          <w:szCs w:val="16"/>
          <w:b w:val="1"/>
          <w:bCs w:val="1"/>
          <w:color w:val="auto"/>
        </w:rPr>
        <w:t>45</w:t>
      </w:r>
    </w:p>
    <w:p>
      <w:pPr>
        <w:spacing w:after="0" w:line="380"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2025 Compensation Highlights</w:t>
      </w:r>
    </w:p>
    <w:p>
      <w:pPr>
        <w:spacing w:after="0" w:line="107" w:lineRule="exact"/>
        <w:rPr>
          <w:sz w:val="20"/>
          <w:szCs w:val="20"/>
          <w:color w:val="auto"/>
        </w:rPr>
      </w:pPr>
    </w:p>
    <w:p>
      <w:pPr>
        <w:ind w:left="140" w:right="719"/>
        <w:spacing w:after="0" w:line="332" w:lineRule="auto"/>
        <w:rPr>
          <w:sz w:val="20"/>
          <w:szCs w:val="20"/>
          <w:color w:val="auto"/>
        </w:rPr>
      </w:pPr>
      <w:r>
        <w:rPr>
          <w:rFonts w:ascii="Arial" w:cs="Arial" w:eastAsia="Arial" w:hAnsi="Arial"/>
          <w:sz w:val="16"/>
          <w:szCs w:val="16"/>
          <w:b w:val="1"/>
          <w:bCs w:val="1"/>
          <w:color w:val="auto"/>
          <w:highlight w:val="white"/>
        </w:rPr>
        <w:t>In 2025, we continued to advance our strategic transformation, and we met or exceeded all of our financial targets communicated to investors at the beginning of the year.</w:t>
      </w:r>
    </w:p>
    <w:p>
      <w:pPr>
        <w:spacing w:after="0" w:line="71" w:lineRule="exact"/>
        <w:rPr>
          <w:sz w:val="20"/>
          <w:szCs w:val="20"/>
          <w:color w:val="auto"/>
        </w:rPr>
      </w:pPr>
    </w:p>
    <w:p>
      <w:pPr>
        <w:ind w:left="320" w:right="679" w:hanging="190"/>
        <w:spacing w:after="0" w:line="284" w:lineRule="auto"/>
        <w:tabs>
          <w:tab w:leader="none" w:pos="320" w:val="left"/>
        </w:tabs>
        <w:numPr>
          <w:ilvl w:val="0"/>
          <w:numId w:val="20"/>
        </w:numPr>
        <w:rPr>
          <w:rFonts w:ascii="Arial" w:cs="Arial" w:eastAsia="Arial" w:hAnsi="Arial"/>
          <w:sz w:val="16"/>
          <w:szCs w:val="16"/>
          <w:color w:val="auto"/>
          <w:highlight w:val="white"/>
        </w:rPr>
      </w:pPr>
      <w:r>
        <w:rPr>
          <w:rFonts w:ascii="Arial" w:cs="Arial" w:eastAsia="Arial" w:hAnsi="Arial"/>
          <w:sz w:val="16"/>
          <w:szCs w:val="16"/>
          <w:color w:val="auto"/>
          <w:highlight w:val="white"/>
        </w:rPr>
        <w:t>We sharpened our focus and strengthened our financial position by reaching agreements to acquire the Issuer Solutions business (which has been rebranded as FIS Total Issuing Solutions) from Global Payments and to sell our remaining equity interest in Worldpay.</w:t>
      </w:r>
    </w:p>
    <w:p>
      <w:pPr>
        <w:spacing w:after="0" w:line="8" w:lineRule="exact"/>
        <w:rPr>
          <w:rFonts w:ascii="Arial" w:cs="Arial" w:eastAsia="Arial" w:hAnsi="Arial"/>
          <w:sz w:val="16"/>
          <w:szCs w:val="16"/>
          <w:color w:val="auto"/>
          <w:highlight w:val="white"/>
        </w:rPr>
      </w:pPr>
    </w:p>
    <w:p>
      <w:pPr>
        <w:ind w:left="320" w:right="519" w:hanging="190"/>
        <w:spacing w:after="0" w:line="299" w:lineRule="auto"/>
        <w:tabs>
          <w:tab w:leader="none" w:pos="320" w:val="left"/>
        </w:tabs>
        <w:numPr>
          <w:ilvl w:val="0"/>
          <w:numId w:val="20"/>
        </w:numPr>
        <w:rPr>
          <w:rFonts w:ascii="Arial" w:cs="Arial" w:eastAsia="Arial" w:hAnsi="Arial"/>
          <w:sz w:val="16"/>
          <w:szCs w:val="16"/>
          <w:color w:val="auto"/>
          <w:highlight w:val="white"/>
        </w:rPr>
      </w:pPr>
      <w:r>
        <w:rPr>
          <w:rFonts w:ascii="Arial" w:cs="Arial" w:eastAsia="Arial" w:hAnsi="Arial"/>
          <w:sz w:val="16"/>
          <w:szCs w:val="16"/>
          <w:color w:val="auto"/>
          <w:highlight w:val="white"/>
        </w:rPr>
        <w:t>We achieved or exceeded our guidance for all key financial metrics, including Adjusted Revenue Growth, Adjusted EBITDA, Adjusted EPS Growth, and Adjusted free cash flow conversion.</w:t>
      </w:r>
    </w:p>
    <w:p>
      <w:pPr>
        <w:ind w:left="320" w:right="539" w:hanging="190"/>
        <w:spacing w:after="0" w:line="304" w:lineRule="auto"/>
        <w:tabs>
          <w:tab w:leader="none" w:pos="320" w:val="left"/>
        </w:tabs>
        <w:numPr>
          <w:ilvl w:val="0"/>
          <w:numId w:val="20"/>
        </w:numPr>
        <w:rPr>
          <w:rFonts w:ascii="Arial" w:cs="Arial" w:eastAsia="Arial" w:hAnsi="Arial"/>
          <w:sz w:val="16"/>
          <w:szCs w:val="16"/>
          <w:color w:val="auto"/>
          <w:highlight w:val="white"/>
        </w:rPr>
      </w:pPr>
      <w:r>
        <w:rPr>
          <w:rFonts w:ascii="Arial" w:cs="Arial" w:eastAsia="Arial" w:hAnsi="Arial"/>
          <w:sz w:val="16"/>
          <w:szCs w:val="16"/>
          <w:color w:val="auto"/>
          <w:highlight w:val="white"/>
        </w:rPr>
        <w:t>We made significant strides to drive commercial excellence across the enterprise and refocus sales on key growth vectors, which we believe will position us for improved performance in the future.</w:t>
      </w:r>
    </w:p>
    <w:p>
      <w:pPr>
        <w:spacing w:after="0" w:line="101" w:lineRule="exact"/>
        <w:rPr>
          <w:sz w:val="20"/>
          <w:szCs w:val="20"/>
          <w:color w:val="auto"/>
        </w:rPr>
      </w:pPr>
    </w:p>
    <w:p>
      <w:pPr>
        <w:jc w:val="both"/>
        <w:ind w:left="140" w:right="239"/>
        <w:spacing w:after="0" w:line="263" w:lineRule="auto"/>
        <w:rPr>
          <w:sz w:val="20"/>
          <w:szCs w:val="20"/>
          <w:color w:val="auto"/>
        </w:rPr>
      </w:pPr>
      <w:r>
        <w:rPr>
          <w:rFonts w:ascii="Arial" w:cs="Arial" w:eastAsia="Arial" w:hAnsi="Arial"/>
          <w:sz w:val="16"/>
          <w:szCs w:val="16"/>
          <w:b w:val="1"/>
          <w:bCs w:val="1"/>
          <w:color w:val="auto"/>
        </w:rPr>
        <w:t xml:space="preserve">We are proud of the operating and financial performance we continued to achieve and deliver in 2025, in spite of broader industry disruption which has weighed on share price performance. </w:t>
      </w:r>
      <w:r>
        <w:rPr>
          <w:rFonts w:ascii="Arial" w:cs="Arial" w:eastAsia="Arial" w:hAnsi="Arial"/>
          <w:sz w:val="16"/>
          <w:szCs w:val="16"/>
          <w:color w:val="auto"/>
        </w:rPr>
        <w:t>As the system of record at the heart of</w:t>
      </w:r>
      <w:r>
        <w:rPr>
          <w:rFonts w:ascii="Arial" w:cs="Arial" w:eastAsia="Arial" w:hAnsi="Arial"/>
          <w:sz w:val="16"/>
          <w:szCs w:val="16"/>
          <w:b w:val="1"/>
          <w:bCs w:val="1"/>
          <w:color w:val="auto"/>
        </w:rPr>
        <w:t xml:space="preserve"> </w:t>
      </w:r>
      <w:r>
        <w:rPr>
          <w:rFonts w:ascii="Arial" w:cs="Arial" w:eastAsia="Arial" w:hAnsi="Arial"/>
          <w:sz w:val="16"/>
          <w:szCs w:val="16"/>
          <w:color w:val="auto"/>
        </w:rPr>
        <w:t>global financial institutions, we hold the industry’s most comprehensive data set, maintain long-standing and deeply-</w:t>
      </w:r>
    </w:p>
    <w:p>
      <w:pPr>
        <w:spacing w:after="0" w:line="1" w:lineRule="exact"/>
        <w:rPr>
          <w:sz w:val="20"/>
          <w:szCs w:val="20"/>
          <w:color w:val="auto"/>
        </w:rPr>
      </w:pPr>
    </w:p>
    <w:p>
      <w:pPr>
        <w:ind w:left="140" w:right="479"/>
        <w:spacing w:after="0" w:line="270" w:lineRule="auto"/>
        <w:rPr>
          <w:sz w:val="20"/>
          <w:szCs w:val="20"/>
          <w:color w:val="auto"/>
        </w:rPr>
      </w:pPr>
      <w:r>
        <w:rPr>
          <w:rFonts w:ascii="Arial" w:cs="Arial" w:eastAsia="Arial" w:hAnsi="Arial"/>
          <w:sz w:val="16"/>
          <w:szCs w:val="16"/>
          <w:color w:val="auto"/>
        </w:rPr>
        <w:t>embedded relationships, and operate a highly specialized regulatory and compliance infrastructure that would be very difficult to replicate — all of which positions us uniquely to deliver differentiated AI solutions.</w:t>
      </w:r>
    </w:p>
    <w:p>
      <w:pPr>
        <w:spacing w:after="0" w:line="114" w:lineRule="exact"/>
        <w:rPr>
          <w:sz w:val="20"/>
          <w:szCs w:val="20"/>
          <w:color w:val="auto"/>
        </w:rPr>
      </w:pPr>
    </w:p>
    <w:p>
      <w:pPr>
        <w:ind w:left="140" w:right="839"/>
        <w:spacing w:after="0" w:line="296" w:lineRule="auto"/>
        <w:rPr>
          <w:sz w:val="20"/>
          <w:szCs w:val="20"/>
          <w:color w:val="auto"/>
        </w:rPr>
      </w:pPr>
      <w:r>
        <w:rPr>
          <w:rFonts w:ascii="Arial" w:cs="Arial" w:eastAsia="Arial" w:hAnsi="Arial"/>
          <w:sz w:val="16"/>
          <w:szCs w:val="16"/>
          <w:b w:val="1"/>
          <w:bCs w:val="1"/>
          <w:color w:val="auto"/>
          <w:highlight w:val="white"/>
        </w:rPr>
        <w:t>Our compensation programs are working as designed to align realized compensation with shareholders’ experience. Our CEO’s realized compensation has significantly trailed her target compensation.</w:t>
      </w:r>
    </w:p>
    <w:p>
      <w:pPr>
        <w:spacing w:after="0" w:line="73" w:lineRule="exact"/>
        <w:rPr>
          <w:sz w:val="20"/>
          <w:szCs w:val="20"/>
          <w:color w:val="auto"/>
        </w:rPr>
      </w:pPr>
    </w:p>
    <w:p>
      <w:pPr>
        <w:ind w:left="320" w:right="779" w:hanging="190"/>
        <w:spacing w:after="0" w:line="316" w:lineRule="auto"/>
        <w:tabs>
          <w:tab w:leader="none" w:pos="320" w:val="left"/>
        </w:tabs>
        <w:numPr>
          <w:ilvl w:val="0"/>
          <w:numId w:val="21"/>
        </w:numPr>
        <w:rPr>
          <w:rFonts w:ascii="Arial" w:cs="Arial" w:eastAsia="Arial" w:hAnsi="Arial"/>
          <w:sz w:val="16"/>
          <w:szCs w:val="16"/>
          <w:color w:val="auto"/>
          <w:highlight w:val="white"/>
        </w:rPr>
      </w:pPr>
      <w:r>
        <w:rPr>
          <w:rFonts w:ascii="Arial" w:cs="Arial" w:eastAsia="Arial" w:hAnsi="Arial"/>
          <w:sz w:val="16"/>
          <w:szCs w:val="16"/>
          <w:color w:val="auto"/>
          <w:highlight w:val="white"/>
        </w:rPr>
        <w:t>The 2023 PSUs paid out at 50% of target number of shares (and 40.2% of target value) based on relative TSR performance, while premium-priced stock options awarded in 2023 are currently out of the money.</w:t>
      </w:r>
    </w:p>
    <w:p>
      <w:pPr>
        <w:spacing w:after="0" w:line="1" w:lineRule="exact"/>
        <w:rPr>
          <w:rFonts w:ascii="Arial" w:cs="Arial" w:eastAsia="Arial" w:hAnsi="Arial"/>
          <w:sz w:val="16"/>
          <w:szCs w:val="16"/>
          <w:color w:val="auto"/>
          <w:highlight w:val="white"/>
        </w:rPr>
      </w:pPr>
    </w:p>
    <w:p>
      <w:pPr>
        <w:ind w:left="320" w:right="1559" w:hanging="190"/>
        <w:spacing w:after="0" w:line="304"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2024 and 2025 PSUs are subject to a relative TSR modifier applied at the end of the three-year performance period.</w:t>
      </w:r>
    </w:p>
    <w:p>
      <w:pPr>
        <w:spacing w:after="0" w:line="114" w:lineRule="exact"/>
        <w:rPr>
          <w:sz w:val="20"/>
          <w:szCs w:val="20"/>
          <w:color w:val="auto"/>
        </w:rPr>
      </w:pPr>
    </w:p>
    <w:p>
      <w:pPr>
        <w:ind w:left="140" w:right="179"/>
        <w:spacing w:after="0" w:line="265" w:lineRule="auto"/>
        <w:rPr>
          <w:sz w:val="20"/>
          <w:szCs w:val="20"/>
          <w:color w:val="auto"/>
        </w:rPr>
      </w:pPr>
      <w:r>
        <w:rPr>
          <w:rFonts w:ascii="Arial" w:cs="Arial" w:eastAsia="Arial" w:hAnsi="Arial"/>
          <w:sz w:val="16"/>
          <w:szCs w:val="16"/>
          <w:b w:val="1"/>
          <w:bCs w:val="1"/>
          <w:color w:val="auto"/>
        </w:rPr>
        <w:t xml:space="preserve">Our CEO’s pay mix is heavily weighted toward performance-based and at-risk elements. </w:t>
      </w:r>
      <w:r>
        <w:rPr>
          <w:rFonts w:ascii="Arial" w:cs="Arial" w:eastAsia="Arial" w:hAnsi="Arial"/>
          <w:sz w:val="16"/>
          <w:szCs w:val="16"/>
          <w:color w:val="auto"/>
          <w:highlight w:val="white"/>
        </w:rPr>
        <w:t>Long-term equity incentive</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 xml:space="preserve">awards represented 82% of the CEO's total target compensation, and 65% of her total long-term equity incentive award was in the form of PSUs. </w:t>
      </w:r>
      <w:r>
        <w:rPr>
          <w:rFonts w:ascii="Arial" w:cs="Arial" w:eastAsia="Arial" w:hAnsi="Arial"/>
          <w:sz w:val="16"/>
          <w:szCs w:val="16"/>
          <w:color w:val="auto"/>
        </w:rPr>
        <w:t>94.5% of the CEO’s total target compensation was at risk based on performance goals and</w:t>
      </w:r>
      <w:r>
        <w:rPr>
          <w:rFonts w:ascii="Arial" w:cs="Arial" w:eastAsia="Arial" w:hAnsi="Arial"/>
          <w:sz w:val="16"/>
          <w:szCs w:val="16"/>
          <w:color w:val="auto"/>
          <w:highlight w:val="white"/>
        </w:rPr>
        <w:t xml:space="preserve"> </w:t>
      </w:r>
      <w:r>
        <w:rPr>
          <w:rFonts w:ascii="Arial" w:cs="Arial" w:eastAsia="Arial" w:hAnsi="Arial"/>
          <w:sz w:val="16"/>
          <w:szCs w:val="16"/>
          <w:color w:val="auto"/>
        </w:rPr>
        <w:t>changes in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0" w:right="139"/>
        <w:spacing w:after="0" w:line="265" w:lineRule="auto"/>
        <w:rPr>
          <w:sz w:val="20"/>
          <w:szCs w:val="20"/>
          <w:color w:val="auto"/>
        </w:rPr>
      </w:pPr>
      <w:r>
        <w:rPr>
          <w:rFonts w:ascii="Arial" w:cs="Arial" w:eastAsia="Arial" w:hAnsi="Arial"/>
          <w:sz w:val="15"/>
          <w:szCs w:val="15"/>
          <w:b w:val="1"/>
          <w:bCs w:val="1"/>
          <w:color w:val="auto"/>
          <w:highlight w:val="white"/>
        </w:rPr>
        <w:t xml:space="preserve">The CEO’s total target 2025 compensation opportunity reflects her strong performance and the extensive effort needed to lead the Company’s strategic transformation. </w:t>
      </w:r>
      <w:r>
        <w:rPr>
          <w:rFonts w:ascii="Arial" w:cs="Arial" w:eastAsia="Arial" w:hAnsi="Arial"/>
          <w:sz w:val="15"/>
          <w:szCs w:val="15"/>
          <w:color w:val="auto"/>
          <w:highlight w:val="white"/>
        </w:rPr>
        <w:t>Our Compensation Committee firmly believes that Ms. Ferris</w:t>
      </w:r>
      <w:r>
        <w:rPr>
          <w:rFonts w:ascii="Arial" w:cs="Arial" w:eastAsia="Arial" w:hAnsi="Arial"/>
          <w:sz w:val="15"/>
          <w:szCs w:val="15"/>
          <w:b w:val="1"/>
          <w:bCs w:val="1"/>
          <w:color w:val="auto"/>
          <w:highlight w:val="white"/>
        </w:rPr>
        <w:t xml:space="preserve"> </w:t>
      </w:r>
      <w:r>
        <w:rPr>
          <w:rFonts w:ascii="Arial" w:cs="Arial" w:eastAsia="Arial" w:hAnsi="Arial"/>
          <w:sz w:val="15"/>
          <w:szCs w:val="15"/>
          <w:color w:val="auto"/>
          <w:highlight w:val="white"/>
        </w:rPr>
        <w:t xml:space="preserve">is the right person to lead our ongoing transformation. When deciding the CEO’s total target compensation opportunity for 2025, the Compensation Committee recognized </w:t>
      </w:r>
      <w:r>
        <w:rPr>
          <w:rFonts w:ascii="Arial" w:cs="Arial" w:eastAsia="Arial" w:hAnsi="Arial"/>
          <w:sz w:val="15"/>
          <w:szCs w:val="15"/>
          <w:color w:val="auto"/>
        </w:rPr>
        <w:t>her strong performance, the significant progress made by the Company</w:t>
      </w:r>
      <w:r>
        <w:rPr>
          <w:rFonts w:ascii="Arial" w:cs="Arial" w:eastAsia="Arial" w:hAnsi="Arial"/>
          <w:sz w:val="15"/>
          <w:szCs w:val="15"/>
          <w:color w:val="auto"/>
          <w:highlight w:val="white"/>
        </w:rPr>
        <w:t xml:space="preserve"> </w:t>
      </w:r>
      <w:r>
        <w:rPr>
          <w:rFonts w:ascii="Arial" w:cs="Arial" w:eastAsia="Arial" w:hAnsi="Arial"/>
          <w:sz w:val="15"/>
          <w:szCs w:val="15"/>
          <w:color w:val="auto"/>
        </w:rPr>
        <w:t>in its strategic transformation, the extensive effort required to lead the continuing transformation and the need to incentivize long- term value creation for our shareholders.</w:t>
      </w:r>
      <w:r>
        <w:rPr>
          <w:sz w:val="1"/>
          <w:szCs w:val="1"/>
          <w:color w:val="auto"/>
        </w:rPr>
        <w:drawing>
          <wp:inline distT="0" distB="0" distL="0" distR="0">
            <wp:extent cx="25400" cy="1200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400" cy="120015"/>
                    </a:xfrm>
                    <a:prstGeom prst="rect">
                      <a:avLst/>
                    </a:prstGeom>
                    <a:noFill/>
                    <a:ln>
                      <a:noFill/>
                    </a:ln>
                  </pic:spPr>
                </pic:pic>
              </a:graphicData>
            </a:graphic>
          </wp:inline>
        </w:drawing>
      </w:r>
      <w:r>
        <w:rPr>
          <w:rFonts w:ascii="Arial" w:cs="Arial" w:eastAsia="Arial" w:hAnsi="Arial"/>
          <w:sz w:val="15"/>
          <w:szCs w:val="15"/>
          <w:color w:val="auto"/>
          <w:highlight w:val="white"/>
        </w:rPr>
        <w:t>The Compensation Committee also believed that it was important for the large majority of Ms. Ferris’ compensation increase to be in the form of long-term incentive compensation, in order to incentivize long-term value creation and to enhance retention. Accordingly, 88% of the 2025 increase in Ms. Ferris’ total target compensation opportunity was in the form of equity compensation (of which 65% is linked to long-term performance goals), reinforcing the link between compensation, long-term performance and the shareholder experience. As a result, Ms. Ferris will achieve realized compensation above the peer group median only if the Company’s performance objectives are met</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6"/>
          <w:szCs w:val="16"/>
          <w:color w:val="auto"/>
          <w:highlight w:val="white"/>
        </w:rPr>
        <w:t>or exceeded.</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13</w:t>
      </w:r>
    </w:p>
    <w:p>
      <w:pPr>
        <w:sectPr>
          <w:pgSz w:w="11900" w:h="16838" w:orient="portrait"/>
          <w:cols w:equalWidth="0" w:num="1">
            <w:col w:w="9019"/>
          </w:cols>
          <w:pgMar w:left="1440" w:top="657" w:right="1440" w:bottom="1440" w:gutter="0" w:footer="0" w:header="0"/>
          <w:type w:val="continuous"/>
        </w:sectPr>
      </w:pPr>
    </w:p>
    <w:bookmarkStart w:id="16" w:name="page17"/>
    <w:bookmarkEnd w:id="16"/>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Proxy Summary</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Compensation Program Design and Results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1620" w:type="dxa"/>
            <w:vAlign w:val="bottom"/>
            <w:shd w:val="clear" w:color="auto" w:fill="ECE8EF"/>
          </w:tcPr>
          <w:p>
            <w:pPr>
              <w:ind w:left="100"/>
              <w:spacing w:after="0"/>
              <w:rPr>
                <w:sz w:val="20"/>
                <w:szCs w:val="20"/>
                <w:color w:val="auto"/>
              </w:rPr>
            </w:pPr>
            <w:r>
              <w:rPr>
                <w:rFonts w:ascii="Arial" w:cs="Arial" w:eastAsia="Arial" w:hAnsi="Arial"/>
                <w:sz w:val="16"/>
                <w:szCs w:val="16"/>
                <w:b w:val="1"/>
                <w:bCs w:val="1"/>
                <w:color w:val="auto"/>
              </w:rPr>
              <w:t>Annual Incentive</w:t>
            </w:r>
          </w:p>
        </w:tc>
        <w:tc>
          <w:tcPr>
            <w:tcW w:w="220" w:type="dxa"/>
            <w:vAlign w:val="bottom"/>
          </w:tcPr>
          <w:p>
            <w:pPr>
              <w:ind w:left="100"/>
              <w:spacing w:after="0"/>
              <w:rPr>
                <w:sz w:val="20"/>
                <w:szCs w:val="20"/>
                <w:color w:val="auto"/>
              </w:rPr>
            </w:pPr>
            <w:r>
              <w:rPr>
                <w:rFonts w:ascii="Arial" w:cs="Arial" w:eastAsia="Arial" w:hAnsi="Arial"/>
                <w:sz w:val="16"/>
                <w:szCs w:val="16"/>
                <w:color w:val="auto"/>
                <w:highlight w:val="white"/>
              </w:rPr>
              <w:t>•</w:t>
            </w:r>
          </w:p>
        </w:tc>
        <w:tc>
          <w:tcPr>
            <w:tcW w:w="3320" w:type="dxa"/>
            <w:vAlign w:val="bottom"/>
          </w:tcPr>
          <w:p>
            <w:pPr>
              <w:ind w:left="80"/>
              <w:spacing w:after="0"/>
              <w:rPr>
                <w:sz w:val="20"/>
                <w:szCs w:val="20"/>
                <w:color w:val="auto"/>
              </w:rPr>
            </w:pPr>
            <w:r>
              <w:rPr>
                <w:rFonts w:ascii="Arial" w:cs="Arial" w:eastAsia="Arial" w:hAnsi="Arial"/>
                <w:sz w:val="14"/>
                <w:szCs w:val="14"/>
                <w:color w:val="auto"/>
                <w:highlight w:val="white"/>
              </w:rPr>
              <w:t>The Compensation Committee made modest</w:t>
            </w:r>
          </w:p>
        </w:tc>
        <w:tc>
          <w:tcPr>
            <w:tcW w:w="3600" w:type="dxa"/>
            <w:vAlign w:val="bottom"/>
          </w:tcPr>
          <w:p>
            <w:pPr>
              <w:ind w:left="60"/>
              <w:spacing w:after="0"/>
              <w:rPr>
                <w:sz w:val="20"/>
                <w:szCs w:val="20"/>
                <w:color w:val="auto"/>
              </w:rPr>
            </w:pPr>
            <w:r>
              <w:rPr>
                <w:rFonts w:ascii="Arial" w:cs="Arial" w:eastAsia="Arial" w:hAnsi="Arial"/>
                <w:sz w:val="14"/>
                <w:szCs w:val="14"/>
                <w:color w:val="auto"/>
                <w:highlight w:val="white"/>
              </w:rPr>
              <w:t>Program consisted of:</w:t>
            </w:r>
          </w:p>
        </w:tc>
      </w:tr>
      <w:tr>
        <w:trPr>
          <w:trHeight w:val="223"/>
        </w:trPr>
        <w:tc>
          <w:tcPr>
            <w:tcW w:w="1620" w:type="dxa"/>
            <w:vAlign w:val="bottom"/>
            <w:shd w:val="clear" w:color="auto" w:fill="ECE8EF"/>
          </w:tcPr>
          <w:p>
            <w:pPr>
              <w:ind w:left="100"/>
              <w:spacing w:after="0"/>
              <w:rPr>
                <w:sz w:val="20"/>
                <w:szCs w:val="20"/>
                <w:color w:val="auto"/>
              </w:rPr>
            </w:pPr>
            <w:r>
              <w:rPr>
                <w:rFonts w:ascii="Arial" w:cs="Arial" w:eastAsia="Arial" w:hAnsi="Arial"/>
                <w:sz w:val="16"/>
                <w:szCs w:val="16"/>
                <w:b w:val="1"/>
                <w:bCs w:val="1"/>
                <w:color w:val="auto"/>
              </w:rPr>
              <w:t>Program</w:t>
            </w:r>
          </w:p>
        </w:tc>
        <w:tc>
          <w:tcPr>
            <w:tcW w:w="22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highlight w:val="white"/>
              </w:rPr>
              <w:t>adjustments to the performance measures</w:t>
            </w:r>
          </w:p>
        </w:tc>
        <w:tc>
          <w:tcPr>
            <w:tcW w:w="3600" w:type="dxa"/>
            <w:vAlign w:val="bottom"/>
          </w:tcPr>
          <w:p>
            <w:pPr>
              <w:spacing w:after="0"/>
              <w:rPr>
                <w:sz w:val="19"/>
                <w:szCs w:val="19"/>
                <w:color w:val="auto"/>
              </w:rPr>
            </w:pPr>
          </w:p>
        </w:tc>
      </w:tr>
      <w:tr>
        <w:trPr>
          <w:trHeight w:val="216"/>
        </w:trPr>
        <w:tc>
          <w:tcPr>
            <w:tcW w:w="1620" w:type="dxa"/>
            <w:vAlign w:val="bottom"/>
            <w:shd w:val="clear" w:color="auto" w:fill="ECE8EF"/>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highlight w:val="white"/>
              </w:rPr>
              <w:t>and weightings to align with key value drivers</w:t>
            </w:r>
          </w:p>
        </w:tc>
        <w:tc>
          <w:tcPr>
            <w:tcW w:w="3600" w:type="dxa"/>
            <w:vAlign w:val="bottom"/>
          </w:tcPr>
          <w:p>
            <w:pPr>
              <w:spacing w:after="0"/>
              <w:rPr>
                <w:sz w:val="18"/>
                <w:szCs w:val="18"/>
                <w:color w:val="auto"/>
              </w:rPr>
            </w:pPr>
          </w:p>
        </w:tc>
      </w:tr>
      <w:tr>
        <w:trPr>
          <w:trHeight w:val="203"/>
        </w:trPr>
        <w:tc>
          <w:tcPr>
            <w:tcW w:w="1620" w:type="dxa"/>
            <w:vAlign w:val="bottom"/>
            <w:shd w:val="clear" w:color="auto" w:fill="ECE8EF"/>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highlight w:val="white"/>
              </w:rPr>
              <w:t>for the third year of our strategic transformation.</w:t>
            </w:r>
          </w:p>
        </w:tc>
        <w:tc>
          <w:tcPr>
            <w:tcW w:w="3600" w:type="dxa"/>
            <w:vAlign w:val="bottom"/>
          </w:tcPr>
          <w:p>
            <w:pPr>
              <w:spacing w:after="0"/>
              <w:rPr>
                <w:sz w:val="17"/>
                <w:szCs w:val="17"/>
                <w:color w:val="auto"/>
              </w:rPr>
            </w:pPr>
          </w:p>
        </w:tc>
      </w:tr>
      <w:tr>
        <w:trPr>
          <w:trHeight w:val="216"/>
        </w:trPr>
        <w:tc>
          <w:tcPr>
            <w:tcW w:w="1620" w:type="dxa"/>
            <w:vAlign w:val="bottom"/>
            <w:shd w:val="clear" w:color="auto" w:fill="ECE8EF"/>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highlight w:val="white"/>
              </w:rPr>
              <w:t>Changes include:</w:t>
            </w:r>
          </w:p>
        </w:tc>
        <w:tc>
          <w:tcPr>
            <w:tcW w:w="3600" w:type="dxa"/>
            <w:vAlign w:val="bottom"/>
          </w:tcPr>
          <w:p>
            <w:pPr>
              <w:spacing w:after="0"/>
              <w:rPr>
                <w:sz w:val="18"/>
                <w:szCs w:val="18"/>
                <w:color w:val="auto"/>
              </w:rPr>
            </w:pPr>
          </w:p>
        </w:tc>
      </w:tr>
      <w:tr>
        <w:trPr>
          <w:trHeight w:val="269"/>
        </w:trPr>
        <w:tc>
          <w:tcPr>
            <w:tcW w:w="1620" w:type="dxa"/>
            <w:vAlign w:val="bottom"/>
            <w:shd w:val="clear" w:color="auto" w:fill="ECE8EF"/>
          </w:tcPr>
          <w:p>
            <w:pPr>
              <w:spacing w:after="0"/>
              <w:rPr>
                <w:sz w:val="23"/>
                <w:szCs w:val="23"/>
                <w:color w:val="auto"/>
              </w:rPr>
            </w:pPr>
          </w:p>
        </w:tc>
        <w:tc>
          <w:tcPr>
            <w:tcW w:w="220" w:type="dxa"/>
            <w:vAlign w:val="bottom"/>
          </w:tcPr>
          <w:p>
            <w:pPr>
              <w:spacing w:after="0"/>
              <w:rPr>
                <w:sz w:val="23"/>
                <w:szCs w:val="23"/>
                <w:color w:val="auto"/>
              </w:rPr>
            </w:pPr>
          </w:p>
        </w:tc>
        <w:tc>
          <w:tcPr>
            <w:tcW w:w="3320" w:type="dxa"/>
            <w:vAlign w:val="bottom"/>
          </w:tcPr>
          <w:p>
            <w:pPr>
              <w:ind w:left="80"/>
              <w:spacing w:after="0"/>
              <w:rPr>
                <w:sz w:val="20"/>
                <w:szCs w:val="20"/>
                <w:color w:val="auto"/>
              </w:rPr>
            </w:pPr>
            <w:r>
              <w:rPr>
                <w:rFonts w:ascii="Arial" w:cs="Arial" w:eastAsia="Arial" w:hAnsi="Arial"/>
                <w:sz w:val="16"/>
                <w:szCs w:val="16"/>
                <w:color w:val="auto"/>
                <w:highlight w:val="white"/>
              </w:rPr>
              <w:t xml:space="preserve">▪  </w:t>
            </w:r>
            <w:r>
              <w:rPr>
                <w:rFonts w:ascii="Arial" w:cs="Arial" w:eastAsia="Arial" w:hAnsi="Arial"/>
                <w:sz w:val="14"/>
                <w:szCs w:val="14"/>
                <w:color w:val="auto"/>
                <w:highlight w:val="white"/>
              </w:rPr>
              <w:t>Added Adjusted EPS as an additional financial</w:t>
            </w:r>
          </w:p>
        </w:tc>
        <w:tc>
          <w:tcPr>
            <w:tcW w:w="3600" w:type="dxa"/>
            <w:vAlign w:val="bottom"/>
          </w:tcPr>
          <w:p>
            <w:pPr>
              <w:spacing w:after="0"/>
              <w:rPr>
                <w:sz w:val="23"/>
                <w:szCs w:val="23"/>
                <w:color w:val="auto"/>
              </w:rPr>
            </w:pPr>
          </w:p>
        </w:tc>
      </w:tr>
      <w:tr>
        <w:trPr>
          <w:trHeight w:val="189"/>
        </w:trPr>
        <w:tc>
          <w:tcPr>
            <w:tcW w:w="1620" w:type="dxa"/>
            <w:vAlign w:val="bottom"/>
            <w:shd w:val="clear" w:color="auto" w:fill="ECE8EF"/>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ind w:left="260"/>
              <w:spacing w:after="0"/>
              <w:rPr>
                <w:sz w:val="20"/>
                <w:szCs w:val="20"/>
                <w:color w:val="auto"/>
              </w:rPr>
            </w:pPr>
            <w:r>
              <w:rPr>
                <w:rFonts w:ascii="Arial" w:cs="Arial" w:eastAsia="Arial" w:hAnsi="Arial"/>
                <w:sz w:val="14"/>
                <w:szCs w:val="14"/>
                <w:color w:val="auto"/>
                <w:highlight w:val="white"/>
              </w:rPr>
              <w:t>performance metric in order to further increase</w:t>
            </w:r>
          </w:p>
        </w:tc>
        <w:tc>
          <w:tcPr>
            <w:tcW w:w="3600" w:type="dxa"/>
            <w:vAlign w:val="bottom"/>
          </w:tcPr>
          <w:p>
            <w:pPr>
              <w:spacing w:after="0"/>
              <w:rPr>
                <w:sz w:val="16"/>
                <w:szCs w:val="16"/>
                <w:color w:val="auto"/>
              </w:rPr>
            </w:pPr>
          </w:p>
        </w:tc>
      </w:tr>
      <w:tr>
        <w:trPr>
          <w:trHeight w:val="190"/>
        </w:trPr>
        <w:tc>
          <w:tcPr>
            <w:tcW w:w="1620" w:type="dxa"/>
            <w:vAlign w:val="bottom"/>
            <w:shd w:val="clear" w:color="auto" w:fill="ECE8EF"/>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ind w:left="260"/>
              <w:spacing w:after="0"/>
              <w:rPr>
                <w:sz w:val="20"/>
                <w:szCs w:val="20"/>
                <w:color w:val="auto"/>
              </w:rPr>
            </w:pPr>
            <w:r>
              <w:rPr>
                <w:rFonts w:ascii="Arial" w:cs="Arial" w:eastAsia="Arial" w:hAnsi="Arial"/>
                <w:sz w:val="14"/>
                <w:szCs w:val="14"/>
                <w:color w:val="auto"/>
                <w:highlight w:val="white"/>
              </w:rPr>
              <w:t>the focus on attaining profitability objectives.</w:t>
            </w:r>
          </w:p>
        </w:tc>
        <w:tc>
          <w:tcPr>
            <w:tcW w:w="3600" w:type="dxa"/>
            <w:vAlign w:val="bottom"/>
          </w:tcPr>
          <w:p>
            <w:pPr>
              <w:spacing w:after="0"/>
              <w:rPr>
                <w:sz w:val="16"/>
                <w:szCs w:val="16"/>
                <w:color w:val="auto"/>
              </w:rPr>
            </w:pPr>
          </w:p>
        </w:tc>
      </w:tr>
      <w:tr>
        <w:trPr>
          <w:trHeight w:val="255"/>
        </w:trPr>
        <w:tc>
          <w:tcPr>
            <w:tcW w:w="1620" w:type="dxa"/>
            <w:vAlign w:val="bottom"/>
            <w:shd w:val="clear" w:color="auto" w:fill="ECE8EF"/>
          </w:tcPr>
          <w:p>
            <w:pPr>
              <w:spacing w:after="0"/>
              <w:rPr>
                <w:sz w:val="22"/>
                <w:szCs w:val="22"/>
                <w:color w:val="auto"/>
              </w:rPr>
            </w:pPr>
          </w:p>
        </w:tc>
        <w:tc>
          <w:tcPr>
            <w:tcW w:w="220" w:type="dxa"/>
            <w:vAlign w:val="bottom"/>
          </w:tcPr>
          <w:p>
            <w:pPr>
              <w:spacing w:after="0"/>
              <w:rPr>
                <w:sz w:val="22"/>
                <w:szCs w:val="22"/>
                <w:color w:val="auto"/>
              </w:rPr>
            </w:pPr>
          </w:p>
        </w:tc>
        <w:tc>
          <w:tcPr>
            <w:tcW w:w="3320" w:type="dxa"/>
            <w:vAlign w:val="bottom"/>
          </w:tcPr>
          <w:p>
            <w:pPr>
              <w:ind w:left="80"/>
              <w:spacing w:after="0"/>
              <w:rPr>
                <w:sz w:val="20"/>
                <w:szCs w:val="20"/>
                <w:color w:val="auto"/>
              </w:rPr>
            </w:pPr>
            <w:r>
              <w:rPr>
                <w:rFonts w:ascii="Arial" w:cs="Arial" w:eastAsia="Arial" w:hAnsi="Arial"/>
                <w:sz w:val="16"/>
                <w:szCs w:val="16"/>
                <w:color w:val="auto"/>
                <w:highlight w:val="white"/>
              </w:rPr>
              <w:t xml:space="preserve">▪  </w:t>
            </w:r>
            <w:r>
              <w:rPr>
                <w:rFonts w:ascii="Arial" w:cs="Arial" w:eastAsia="Arial" w:hAnsi="Arial"/>
                <w:sz w:val="14"/>
                <w:szCs w:val="14"/>
                <w:color w:val="auto"/>
                <w:highlight w:val="white"/>
              </w:rPr>
              <w:t>Increased the aggregate weighting of financial</w:t>
            </w:r>
          </w:p>
        </w:tc>
        <w:tc>
          <w:tcPr>
            <w:tcW w:w="3600" w:type="dxa"/>
            <w:vAlign w:val="bottom"/>
          </w:tcPr>
          <w:p>
            <w:pPr>
              <w:spacing w:after="0"/>
              <w:rPr>
                <w:sz w:val="22"/>
                <w:szCs w:val="22"/>
                <w:color w:val="auto"/>
              </w:rPr>
            </w:pPr>
          </w:p>
        </w:tc>
      </w:tr>
      <w:tr>
        <w:trPr>
          <w:trHeight w:val="190"/>
        </w:trPr>
        <w:tc>
          <w:tcPr>
            <w:tcW w:w="1620" w:type="dxa"/>
            <w:vAlign w:val="bottom"/>
            <w:shd w:val="clear" w:color="auto" w:fill="ECE8EF"/>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ind w:left="260"/>
              <w:spacing w:after="0"/>
              <w:rPr>
                <w:sz w:val="20"/>
                <w:szCs w:val="20"/>
                <w:color w:val="auto"/>
              </w:rPr>
            </w:pPr>
            <w:r>
              <w:rPr>
                <w:rFonts w:ascii="Arial" w:cs="Arial" w:eastAsia="Arial" w:hAnsi="Arial"/>
                <w:sz w:val="14"/>
                <w:szCs w:val="14"/>
                <w:color w:val="auto"/>
                <w:highlight w:val="white"/>
              </w:rPr>
              <w:t>performance metrics to reflect the greater</w:t>
            </w:r>
          </w:p>
        </w:tc>
        <w:tc>
          <w:tcPr>
            <w:tcW w:w="3600" w:type="dxa"/>
            <w:vAlign w:val="bottom"/>
          </w:tcPr>
          <w:p>
            <w:pPr>
              <w:spacing w:after="0"/>
              <w:rPr>
                <w:sz w:val="16"/>
                <w:szCs w:val="16"/>
                <w:color w:val="auto"/>
              </w:rPr>
            </w:pPr>
          </w:p>
        </w:tc>
      </w:tr>
      <w:tr>
        <w:trPr>
          <w:trHeight w:val="201"/>
        </w:trPr>
        <w:tc>
          <w:tcPr>
            <w:tcW w:w="1620" w:type="dxa"/>
            <w:vAlign w:val="bottom"/>
            <w:shd w:val="clear" w:color="auto" w:fill="ECE8EF"/>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Pr>
          <w:p>
            <w:pPr>
              <w:ind w:left="260"/>
              <w:spacing w:after="0"/>
              <w:rPr>
                <w:sz w:val="20"/>
                <w:szCs w:val="20"/>
                <w:color w:val="auto"/>
              </w:rPr>
            </w:pPr>
            <w:r>
              <w:rPr>
                <w:rFonts w:ascii="Arial" w:cs="Arial" w:eastAsia="Arial" w:hAnsi="Arial"/>
                <w:sz w:val="14"/>
                <w:szCs w:val="14"/>
                <w:color w:val="auto"/>
                <w:highlight w:val="white"/>
              </w:rPr>
              <w:t>importance of financial performance</w:t>
            </w:r>
          </w:p>
        </w:tc>
        <w:tc>
          <w:tcPr>
            <w:tcW w:w="3600" w:type="dxa"/>
            <w:vAlign w:val="bottom"/>
          </w:tcPr>
          <w:p>
            <w:pPr>
              <w:spacing w:after="0"/>
              <w:rPr>
                <w:sz w:val="17"/>
                <w:szCs w:val="17"/>
                <w:color w:val="auto"/>
              </w:rPr>
            </w:pPr>
          </w:p>
        </w:tc>
      </w:tr>
      <w:tr>
        <w:trPr>
          <w:trHeight w:val="189"/>
        </w:trPr>
        <w:tc>
          <w:tcPr>
            <w:tcW w:w="1620" w:type="dxa"/>
            <w:vAlign w:val="bottom"/>
            <w:shd w:val="clear" w:color="auto" w:fill="ECE8EF"/>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ind w:left="260"/>
              <w:spacing w:after="0"/>
              <w:rPr>
                <w:sz w:val="20"/>
                <w:szCs w:val="20"/>
                <w:color w:val="auto"/>
              </w:rPr>
            </w:pPr>
            <w:r>
              <w:rPr>
                <w:rFonts w:ascii="Arial" w:cs="Arial" w:eastAsia="Arial" w:hAnsi="Arial"/>
                <w:sz w:val="14"/>
                <w:szCs w:val="14"/>
                <w:color w:val="auto"/>
                <w:highlight w:val="white"/>
              </w:rPr>
              <w:t>improvement to the Company at this stage</w:t>
            </w:r>
          </w:p>
        </w:tc>
        <w:tc>
          <w:tcPr>
            <w:tcW w:w="3600" w:type="dxa"/>
            <w:vAlign w:val="bottom"/>
          </w:tcPr>
          <w:p>
            <w:pPr>
              <w:spacing w:after="0"/>
              <w:rPr>
                <w:sz w:val="16"/>
                <w:szCs w:val="16"/>
                <w:color w:val="auto"/>
              </w:rPr>
            </w:pPr>
          </w:p>
        </w:tc>
      </w:tr>
      <w:tr>
        <w:trPr>
          <w:trHeight w:val="190"/>
        </w:trPr>
        <w:tc>
          <w:tcPr>
            <w:tcW w:w="1620" w:type="dxa"/>
            <w:vAlign w:val="bottom"/>
            <w:shd w:val="clear" w:color="auto" w:fill="ECE8EF"/>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ind w:left="260"/>
              <w:spacing w:after="0"/>
              <w:rPr>
                <w:sz w:val="20"/>
                <w:szCs w:val="20"/>
                <w:color w:val="auto"/>
              </w:rPr>
            </w:pPr>
            <w:r>
              <w:rPr>
                <w:rFonts w:ascii="Arial" w:cs="Arial" w:eastAsia="Arial" w:hAnsi="Arial"/>
                <w:sz w:val="14"/>
                <w:szCs w:val="14"/>
                <w:color w:val="auto"/>
                <w:highlight w:val="white"/>
              </w:rPr>
              <w:t>of our transformation.</w:t>
            </w:r>
          </w:p>
        </w:tc>
        <w:tc>
          <w:tcPr>
            <w:tcW w:w="3600" w:type="dxa"/>
            <w:vAlign w:val="bottom"/>
          </w:tcPr>
          <w:p>
            <w:pPr>
              <w:spacing w:after="0"/>
              <w:rPr>
                <w:sz w:val="16"/>
                <w:szCs w:val="16"/>
                <w:color w:val="auto"/>
              </w:rPr>
            </w:pPr>
          </w:p>
        </w:tc>
      </w:tr>
      <w:tr>
        <w:trPr>
          <w:trHeight w:val="255"/>
        </w:trPr>
        <w:tc>
          <w:tcPr>
            <w:tcW w:w="1620" w:type="dxa"/>
            <w:vAlign w:val="bottom"/>
            <w:shd w:val="clear" w:color="auto" w:fill="ECE8EF"/>
          </w:tcPr>
          <w:p>
            <w:pPr>
              <w:spacing w:after="0"/>
              <w:rPr>
                <w:sz w:val="22"/>
                <w:szCs w:val="22"/>
                <w:color w:val="auto"/>
              </w:rPr>
            </w:pPr>
          </w:p>
        </w:tc>
        <w:tc>
          <w:tcPr>
            <w:tcW w:w="3540" w:type="dxa"/>
            <w:vAlign w:val="bottom"/>
            <w:gridSpan w:val="2"/>
          </w:tcPr>
          <w:p>
            <w:pPr>
              <w:ind w:left="100"/>
              <w:spacing w:after="0"/>
              <w:rPr>
                <w:sz w:val="20"/>
                <w:szCs w:val="20"/>
                <w:color w:val="auto"/>
              </w:rPr>
            </w:pPr>
            <w:r>
              <w:rPr>
                <w:rFonts w:ascii="Arial" w:cs="Arial" w:eastAsia="Arial" w:hAnsi="Arial"/>
                <w:sz w:val="16"/>
                <w:szCs w:val="16"/>
                <w:color w:val="auto"/>
                <w:highlight w:val="white"/>
              </w:rPr>
              <w:t xml:space="preserve">•  </w:t>
            </w:r>
            <w:r>
              <w:rPr>
                <w:rFonts w:ascii="Arial" w:cs="Arial" w:eastAsia="Arial" w:hAnsi="Arial"/>
                <w:sz w:val="14"/>
                <w:szCs w:val="14"/>
                <w:color w:val="auto"/>
                <w:highlight w:val="white"/>
              </w:rPr>
              <w:t>Financial targets were consistent with the</w:t>
            </w:r>
          </w:p>
        </w:tc>
        <w:tc>
          <w:tcPr>
            <w:tcW w:w="3600" w:type="dxa"/>
            <w:vAlign w:val="bottom"/>
          </w:tcPr>
          <w:p>
            <w:pPr>
              <w:spacing w:after="0"/>
              <w:rPr>
                <w:sz w:val="22"/>
                <w:szCs w:val="22"/>
                <w:color w:val="auto"/>
              </w:rPr>
            </w:pPr>
          </w:p>
        </w:tc>
      </w:tr>
      <w:tr>
        <w:trPr>
          <w:trHeight w:val="190"/>
        </w:trPr>
        <w:tc>
          <w:tcPr>
            <w:tcW w:w="1620" w:type="dxa"/>
            <w:vAlign w:val="bottom"/>
            <w:shd w:val="clear" w:color="auto" w:fill="ECE8EF"/>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highlight w:val="white"/>
              </w:rPr>
              <w:t>Company’s guidance to investors and reflected</w:t>
            </w:r>
          </w:p>
        </w:tc>
        <w:tc>
          <w:tcPr>
            <w:tcW w:w="3600" w:type="dxa"/>
            <w:vAlign w:val="bottom"/>
          </w:tcPr>
          <w:p>
            <w:pPr>
              <w:spacing w:after="0"/>
              <w:rPr>
                <w:sz w:val="16"/>
                <w:szCs w:val="16"/>
                <w:color w:val="auto"/>
              </w:rPr>
            </w:pPr>
          </w:p>
        </w:tc>
      </w:tr>
      <w:tr>
        <w:trPr>
          <w:trHeight w:val="201"/>
        </w:trPr>
        <w:tc>
          <w:tcPr>
            <w:tcW w:w="1620" w:type="dxa"/>
            <w:vAlign w:val="bottom"/>
            <w:shd w:val="clear" w:color="auto" w:fill="ECE8EF"/>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highlight w:val="white"/>
              </w:rPr>
              <w:t>strategic priorities tied to the Company’s</w:t>
            </w:r>
          </w:p>
        </w:tc>
        <w:tc>
          <w:tcPr>
            <w:tcW w:w="3600" w:type="dxa"/>
            <w:vAlign w:val="bottom"/>
          </w:tcPr>
          <w:p>
            <w:pPr>
              <w:spacing w:after="0"/>
              <w:rPr>
                <w:sz w:val="17"/>
                <w:szCs w:val="17"/>
                <w:color w:val="auto"/>
              </w:rPr>
            </w:pPr>
          </w:p>
        </w:tc>
      </w:tr>
      <w:tr>
        <w:trPr>
          <w:trHeight w:val="190"/>
        </w:trPr>
        <w:tc>
          <w:tcPr>
            <w:tcW w:w="1620" w:type="dxa"/>
            <w:vAlign w:val="bottom"/>
            <w:shd w:val="clear" w:color="auto" w:fill="ECE8EF"/>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highlight w:val="white"/>
              </w:rPr>
              <w:t>transformation goals.</w:t>
            </w:r>
          </w:p>
        </w:tc>
        <w:tc>
          <w:tcPr>
            <w:tcW w:w="3600" w:type="dxa"/>
            <w:vAlign w:val="bottom"/>
          </w:tcPr>
          <w:p>
            <w:pPr>
              <w:spacing w:after="0"/>
              <w:rPr>
                <w:sz w:val="16"/>
                <w:szCs w:val="16"/>
                <w:color w:val="auto"/>
              </w:rPr>
            </w:pPr>
          </w:p>
        </w:tc>
      </w:tr>
      <w:tr>
        <w:trPr>
          <w:trHeight w:val="249"/>
        </w:trPr>
        <w:tc>
          <w:tcPr>
            <w:tcW w:w="1620" w:type="dxa"/>
            <w:vAlign w:val="bottom"/>
            <w:shd w:val="clear" w:color="auto" w:fill="ECE8EF"/>
          </w:tcPr>
          <w:p>
            <w:pPr>
              <w:spacing w:after="0"/>
              <w:rPr>
                <w:sz w:val="21"/>
                <w:szCs w:val="21"/>
                <w:color w:val="auto"/>
              </w:rPr>
            </w:pPr>
          </w:p>
        </w:tc>
        <w:tc>
          <w:tcPr>
            <w:tcW w:w="3540" w:type="dxa"/>
            <w:vAlign w:val="bottom"/>
            <w:gridSpan w:val="2"/>
          </w:tcPr>
          <w:p>
            <w:pPr>
              <w:ind w:left="100"/>
              <w:spacing w:after="0"/>
              <w:rPr>
                <w:sz w:val="20"/>
                <w:szCs w:val="20"/>
                <w:color w:val="auto"/>
              </w:rPr>
            </w:pPr>
            <w:r>
              <w:rPr>
                <w:rFonts w:ascii="Arial" w:cs="Arial" w:eastAsia="Arial" w:hAnsi="Arial"/>
                <w:sz w:val="14"/>
                <w:szCs w:val="14"/>
                <w:b w:val="1"/>
                <w:bCs w:val="1"/>
                <w:color w:val="auto"/>
                <w:highlight w:val="white"/>
              </w:rPr>
              <w:t>Results:</w:t>
            </w:r>
          </w:p>
        </w:tc>
        <w:tc>
          <w:tcPr>
            <w:tcW w:w="3600" w:type="dxa"/>
            <w:vAlign w:val="bottom"/>
          </w:tcPr>
          <w:p>
            <w:pPr>
              <w:spacing w:after="0"/>
              <w:rPr>
                <w:sz w:val="21"/>
                <w:szCs w:val="21"/>
                <w:color w:val="auto"/>
              </w:rPr>
            </w:pPr>
          </w:p>
        </w:tc>
      </w:tr>
      <w:tr>
        <w:trPr>
          <w:trHeight w:val="243"/>
        </w:trPr>
        <w:tc>
          <w:tcPr>
            <w:tcW w:w="1620" w:type="dxa"/>
            <w:vAlign w:val="bottom"/>
            <w:shd w:val="clear" w:color="auto" w:fill="ECE8EF"/>
          </w:tcPr>
          <w:p>
            <w:pPr>
              <w:spacing w:after="0"/>
              <w:rPr>
                <w:sz w:val="21"/>
                <w:szCs w:val="21"/>
                <w:color w:val="auto"/>
              </w:rPr>
            </w:pPr>
          </w:p>
        </w:tc>
        <w:tc>
          <w:tcPr>
            <w:tcW w:w="3540" w:type="dxa"/>
            <w:vAlign w:val="bottom"/>
            <w:gridSpan w:val="2"/>
          </w:tcPr>
          <w:p>
            <w:pPr>
              <w:ind w:left="100"/>
              <w:spacing w:after="0"/>
              <w:rPr>
                <w:sz w:val="20"/>
                <w:szCs w:val="20"/>
                <w:color w:val="auto"/>
              </w:rPr>
            </w:pPr>
            <w:r>
              <w:rPr>
                <w:rFonts w:ascii="Arial" w:cs="Arial" w:eastAsia="Arial" w:hAnsi="Arial"/>
                <w:sz w:val="16"/>
                <w:szCs w:val="16"/>
                <w:color w:val="auto"/>
                <w:highlight w:val="white"/>
              </w:rPr>
              <w:t xml:space="preserve">•  </w:t>
            </w:r>
            <w:r>
              <w:rPr>
                <w:rFonts w:ascii="Arial" w:cs="Arial" w:eastAsia="Arial" w:hAnsi="Arial"/>
                <w:sz w:val="14"/>
                <w:szCs w:val="14"/>
                <w:color w:val="auto"/>
                <w:highlight w:val="white"/>
              </w:rPr>
              <w:t>Results for key financial metrics all met or</w:t>
            </w:r>
          </w:p>
        </w:tc>
        <w:tc>
          <w:tcPr>
            <w:tcW w:w="3600" w:type="dxa"/>
            <w:vAlign w:val="bottom"/>
          </w:tcPr>
          <w:p>
            <w:pPr>
              <w:spacing w:after="0"/>
              <w:rPr>
                <w:sz w:val="21"/>
                <w:szCs w:val="21"/>
                <w:color w:val="auto"/>
              </w:rPr>
            </w:pPr>
          </w:p>
        </w:tc>
      </w:tr>
      <w:tr>
        <w:trPr>
          <w:trHeight w:val="197"/>
        </w:trPr>
        <w:tc>
          <w:tcPr>
            <w:tcW w:w="1620" w:type="dxa"/>
            <w:vAlign w:val="bottom"/>
            <w:shd w:val="clear" w:color="auto" w:fill="ECE8EF"/>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highlight w:val="white"/>
              </w:rPr>
              <w:t>exceeded our guidance communicated to</w:t>
            </w:r>
          </w:p>
        </w:tc>
        <w:tc>
          <w:tcPr>
            <w:tcW w:w="3600" w:type="dxa"/>
            <w:vAlign w:val="bottom"/>
          </w:tcPr>
          <w:p>
            <w:pPr>
              <w:spacing w:after="0"/>
              <w:rPr>
                <w:sz w:val="17"/>
                <w:szCs w:val="17"/>
                <w:color w:val="auto"/>
              </w:rPr>
            </w:pPr>
          </w:p>
        </w:tc>
      </w:tr>
      <w:tr>
        <w:trPr>
          <w:trHeight w:val="203"/>
        </w:trPr>
        <w:tc>
          <w:tcPr>
            <w:tcW w:w="1620" w:type="dxa"/>
            <w:vAlign w:val="bottom"/>
            <w:shd w:val="clear" w:color="auto" w:fill="ECE8EF"/>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highlight w:val="white"/>
              </w:rPr>
              <w:t>investors at the beginning of the year.</w:t>
            </w:r>
          </w:p>
        </w:tc>
        <w:tc>
          <w:tcPr>
            <w:tcW w:w="3600" w:type="dxa"/>
            <w:vAlign w:val="bottom"/>
          </w:tcPr>
          <w:p>
            <w:pPr>
              <w:spacing w:after="0"/>
              <w:rPr>
                <w:sz w:val="17"/>
                <w:szCs w:val="17"/>
                <w:color w:val="auto"/>
              </w:rPr>
            </w:pPr>
          </w:p>
        </w:tc>
      </w:tr>
      <w:tr>
        <w:trPr>
          <w:trHeight w:val="508"/>
        </w:trPr>
        <w:tc>
          <w:tcPr>
            <w:tcW w:w="1620" w:type="dxa"/>
            <w:vAlign w:val="bottom"/>
            <w:tcBorders>
              <w:bottom w:val="single" w:sz="8" w:color="CCCCCC"/>
            </w:tcBorders>
            <w:shd w:val="clear" w:color="auto" w:fill="ECE8EF"/>
          </w:tcPr>
          <w:p>
            <w:pPr>
              <w:spacing w:after="0"/>
              <w:rPr>
                <w:sz w:val="24"/>
                <w:szCs w:val="24"/>
                <w:color w:val="auto"/>
              </w:rPr>
            </w:pPr>
          </w:p>
        </w:tc>
        <w:tc>
          <w:tcPr>
            <w:tcW w:w="220" w:type="dxa"/>
            <w:vAlign w:val="bottom"/>
            <w:tcBorders>
              <w:bottom w:val="single" w:sz="8" w:color="CCCCCC"/>
            </w:tcBorders>
          </w:tcPr>
          <w:p>
            <w:pPr>
              <w:spacing w:after="0"/>
              <w:rPr>
                <w:sz w:val="24"/>
                <w:szCs w:val="24"/>
                <w:color w:val="auto"/>
              </w:rPr>
            </w:pPr>
          </w:p>
        </w:tc>
        <w:tc>
          <w:tcPr>
            <w:tcW w:w="3320" w:type="dxa"/>
            <w:vAlign w:val="bottom"/>
            <w:tcBorders>
              <w:bottom w:val="single" w:sz="8" w:color="CCCCCC"/>
            </w:tcBorders>
          </w:tcPr>
          <w:p>
            <w:pPr>
              <w:spacing w:after="0"/>
              <w:rPr>
                <w:sz w:val="24"/>
                <w:szCs w:val="24"/>
                <w:color w:val="auto"/>
              </w:rPr>
            </w:pPr>
          </w:p>
        </w:tc>
        <w:tc>
          <w:tcPr>
            <w:tcW w:w="3600" w:type="dxa"/>
            <w:vAlign w:val="bottom"/>
            <w:tcBorders>
              <w:bottom w:val="single" w:sz="8" w:color="CCCCCC"/>
            </w:tcBorders>
          </w:tcPr>
          <w:p>
            <w:pPr>
              <w:spacing w:after="0"/>
              <w:rPr>
                <w:sz w:val="24"/>
                <w:szCs w:val="24"/>
                <w:color w:val="auto"/>
              </w:rPr>
            </w:pPr>
          </w:p>
        </w:tc>
      </w:tr>
      <w:tr>
        <w:trPr>
          <w:trHeight w:val="276"/>
        </w:trPr>
        <w:tc>
          <w:tcPr>
            <w:tcW w:w="1620" w:type="dxa"/>
            <w:vAlign w:val="bottom"/>
          </w:tcPr>
          <w:p>
            <w:pPr>
              <w:ind w:left="100"/>
              <w:spacing w:after="0"/>
              <w:rPr>
                <w:sz w:val="20"/>
                <w:szCs w:val="20"/>
                <w:color w:val="auto"/>
              </w:rPr>
            </w:pPr>
            <w:r>
              <w:rPr>
                <w:rFonts w:ascii="Arial" w:cs="Arial" w:eastAsia="Arial" w:hAnsi="Arial"/>
                <w:sz w:val="16"/>
                <w:szCs w:val="16"/>
                <w:b w:val="1"/>
                <w:bCs w:val="1"/>
                <w:color w:val="431C5B"/>
              </w:rPr>
              <w:t>Long-Term</w:t>
            </w:r>
          </w:p>
        </w:tc>
        <w:tc>
          <w:tcPr>
            <w:tcW w:w="220" w:type="dxa"/>
            <w:vAlign w:val="bottom"/>
          </w:tcPr>
          <w:p>
            <w:pPr>
              <w:ind w:left="100"/>
              <w:spacing w:after="0"/>
              <w:rPr>
                <w:sz w:val="20"/>
                <w:szCs w:val="20"/>
                <w:color w:val="auto"/>
              </w:rPr>
            </w:pPr>
            <w:r>
              <w:rPr>
                <w:rFonts w:ascii="Arial" w:cs="Arial" w:eastAsia="Arial" w:hAnsi="Arial"/>
                <w:sz w:val="16"/>
                <w:szCs w:val="16"/>
                <w:color w:val="auto"/>
                <w:highlight w:val="white"/>
              </w:rPr>
              <w:t>•</w:t>
            </w:r>
          </w:p>
        </w:tc>
        <w:tc>
          <w:tcPr>
            <w:tcW w:w="3320" w:type="dxa"/>
            <w:vAlign w:val="bottom"/>
          </w:tcPr>
          <w:p>
            <w:pPr>
              <w:ind w:left="80"/>
              <w:spacing w:after="0"/>
              <w:rPr>
                <w:sz w:val="20"/>
                <w:szCs w:val="20"/>
                <w:color w:val="auto"/>
              </w:rPr>
            </w:pPr>
            <w:r>
              <w:rPr>
                <w:rFonts w:ascii="Arial" w:cs="Arial" w:eastAsia="Arial" w:hAnsi="Arial"/>
                <w:sz w:val="14"/>
                <w:szCs w:val="14"/>
                <w:color w:val="auto"/>
                <w:highlight w:val="white"/>
              </w:rPr>
              <w:t>Program consisted of:</w:t>
            </w:r>
          </w:p>
        </w:tc>
        <w:tc>
          <w:tcPr>
            <w:tcW w:w="3600" w:type="dxa"/>
            <w:vAlign w:val="bottom"/>
          </w:tcPr>
          <w:p>
            <w:pPr>
              <w:spacing w:after="0"/>
              <w:rPr>
                <w:sz w:val="24"/>
                <w:szCs w:val="24"/>
                <w:color w:val="auto"/>
              </w:rPr>
            </w:pPr>
          </w:p>
        </w:tc>
      </w:tr>
      <w:tr>
        <w:trPr>
          <w:trHeight w:val="275"/>
        </w:trPr>
        <w:tc>
          <w:tcPr>
            <w:tcW w:w="1620" w:type="dxa"/>
            <w:vAlign w:val="bottom"/>
          </w:tcPr>
          <w:p>
            <w:pPr>
              <w:ind w:left="100"/>
              <w:spacing w:after="0"/>
              <w:rPr>
                <w:sz w:val="20"/>
                <w:szCs w:val="20"/>
                <w:color w:val="auto"/>
              </w:rPr>
            </w:pPr>
            <w:r>
              <w:rPr>
                <w:rFonts w:ascii="Arial" w:cs="Arial" w:eastAsia="Arial" w:hAnsi="Arial"/>
                <w:sz w:val="16"/>
                <w:szCs w:val="16"/>
                <w:b w:val="1"/>
                <w:bCs w:val="1"/>
                <w:color w:val="431C5B"/>
              </w:rPr>
              <w:t>Incentive Program</w:t>
            </w:r>
          </w:p>
        </w:tc>
        <w:tc>
          <w:tcPr>
            <w:tcW w:w="220" w:type="dxa"/>
            <w:vAlign w:val="bottom"/>
          </w:tcPr>
          <w:p>
            <w:pPr>
              <w:spacing w:after="0"/>
              <w:rPr>
                <w:sz w:val="23"/>
                <w:szCs w:val="23"/>
                <w:color w:val="auto"/>
              </w:rPr>
            </w:pPr>
          </w:p>
        </w:tc>
        <w:tc>
          <w:tcPr>
            <w:tcW w:w="6920" w:type="dxa"/>
            <w:vAlign w:val="bottom"/>
            <w:gridSpan w:val="2"/>
          </w:tcPr>
          <w:p>
            <w:pPr>
              <w:ind w:left="80"/>
              <w:spacing w:after="0"/>
              <w:rPr>
                <w:sz w:val="20"/>
                <w:szCs w:val="20"/>
                <w:color w:val="auto"/>
              </w:rPr>
            </w:pPr>
            <w:r>
              <w:rPr>
                <w:rFonts w:ascii="Arial" w:cs="Arial" w:eastAsia="Arial" w:hAnsi="Arial"/>
                <w:sz w:val="16"/>
                <w:szCs w:val="16"/>
                <w:color w:val="auto"/>
                <w:highlight w:val="white"/>
              </w:rPr>
              <w:t xml:space="preserve">▪  </w:t>
            </w:r>
            <w:r>
              <w:rPr>
                <w:rFonts w:ascii="Arial" w:cs="Arial" w:eastAsia="Arial" w:hAnsi="Arial"/>
                <w:sz w:val="14"/>
                <w:szCs w:val="14"/>
                <w:color w:val="auto"/>
                <w:highlight w:val="white"/>
              </w:rPr>
              <w:t>65% performance stock units (“PSUs”) / 35% time-based restricted stock units (“RSUs”) for CEO</w:t>
            </w:r>
          </w:p>
        </w:tc>
      </w:tr>
    </w:tbl>
    <w:p>
      <w:pPr>
        <w:ind w:left="2220"/>
        <w:spacing w:after="0"/>
        <w:rPr>
          <w:sz w:val="20"/>
          <w:szCs w:val="20"/>
          <w:color w:val="auto"/>
        </w:rPr>
      </w:pPr>
      <w:r>
        <w:rPr>
          <w:rFonts w:ascii="Arial" w:cs="Arial" w:eastAsia="Arial" w:hAnsi="Arial"/>
          <w:sz w:val="14"/>
          <w:szCs w:val="14"/>
          <w:color w:val="auto"/>
          <w:highlight w:val="white"/>
        </w:rPr>
        <w:t>and CFO</w:t>
      </w:r>
    </w:p>
    <w:p>
      <w:pPr>
        <w:spacing w:after="0" w:line="77" w:lineRule="exact"/>
        <w:rPr>
          <w:sz w:val="20"/>
          <w:szCs w:val="20"/>
          <w:color w:val="auto"/>
        </w:rPr>
      </w:pPr>
    </w:p>
    <w:p>
      <w:pPr>
        <w:ind w:left="2040"/>
        <w:spacing w:after="0"/>
        <w:tabs>
          <w:tab w:leader="none" w:pos="2200" w:val="left"/>
        </w:tabs>
        <w:rPr>
          <w:sz w:val="20"/>
          <w:szCs w:val="20"/>
          <w:color w:val="auto"/>
        </w:rPr>
      </w:pPr>
      <w:r>
        <w:rPr>
          <w:rFonts w:ascii="Arial" w:cs="Arial" w:eastAsia="Arial" w:hAnsi="Arial"/>
          <w:sz w:val="16"/>
          <w:szCs w:val="16"/>
          <w:color w:val="auto"/>
          <w:highlight w:val="white"/>
        </w:rPr>
        <w:t>▪</w:t>
      </w:r>
      <w:r>
        <w:rPr>
          <w:sz w:val="20"/>
          <w:szCs w:val="20"/>
          <w:color w:val="auto"/>
        </w:rPr>
        <w:tab/>
      </w:r>
      <w:r>
        <w:rPr>
          <w:rFonts w:ascii="Arial" w:cs="Arial" w:eastAsia="Arial" w:hAnsi="Arial"/>
          <w:sz w:val="14"/>
          <w:szCs w:val="14"/>
          <w:color w:val="auto"/>
          <w:highlight w:val="white"/>
        </w:rPr>
        <w:t>50% PSUs / 50% RSUs for other NEOs</w:t>
      </w:r>
    </w:p>
    <w:p>
      <w:pPr>
        <w:spacing w:after="0" w:line="59" w:lineRule="exact"/>
        <w:rPr>
          <w:sz w:val="20"/>
          <w:szCs w:val="20"/>
          <w:color w:val="auto"/>
        </w:rPr>
      </w:pPr>
    </w:p>
    <w:p>
      <w:pPr>
        <w:ind w:left="2040" w:right="259" w:hanging="199"/>
        <w:spacing w:after="0" w:line="291" w:lineRule="auto"/>
        <w:tabs>
          <w:tab w:leader="none" w:pos="2020" w:val="left"/>
        </w:tabs>
        <w:rPr>
          <w:sz w:val="20"/>
          <w:szCs w:val="20"/>
          <w:color w:val="auto"/>
        </w:rPr>
      </w:pPr>
      <w:r>
        <w:rPr>
          <w:rFonts w:ascii="Arial" w:cs="Arial" w:eastAsia="Arial" w:hAnsi="Arial"/>
          <w:sz w:val="16"/>
          <w:szCs w:val="16"/>
          <w:color w:val="auto"/>
          <w:highlight w:val="white"/>
        </w:rPr>
        <w:t>•</w:t>
      </w:r>
      <w:r>
        <w:rPr>
          <w:sz w:val="20"/>
          <w:szCs w:val="20"/>
          <w:color w:val="auto"/>
        </w:rPr>
        <w:tab/>
      </w:r>
      <w:r>
        <w:rPr>
          <w:rFonts w:ascii="Arial" w:cs="Arial" w:eastAsia="Arial" w:hAnsi="Arial"/>
          <w:sz w:val="14"/>
          <w:szCs w:val="14"/>
          <w:color w:val="auto"/>
          <w:highlight w:val="white"/>
        </w:rPr>
        <w:t>2025 PSU grants utilized a three-year vesting period with cliff vesting after year three, and used Adjusted Revenue Growth and Adjusted EPS Growth as the two equally weighted financial performance measures.</w:t>
      </w:r>
    </w:p>
    <w:p>
      <w:pPr>
        <w:spacing w:after="0" w:line="27" w:lineRule="exact"/>
        <w:rPr>
          <w:sz w:val="20"/>
          <w:szCs w:val="20"/>
          <w:color w:val="auto"/>
        </w:rPr>
      </w:pPr>
    </w:p>
    <w:p>
      <w:pPr>
        <w:ind w:left="2220" w:right="219" w:hanging="179"/>
        <w:spacing w:after="0" w:line="270" w:lineRule="auto"/>
        <w:tabs>
          <w:tab w:leader="none" w:pos="2200" w:val="left"/>
        </w:tabs>
        <w:rPr>
          <w:sz w:val="20"/>
          <w:szCs w:val="20"/>
          <w:color w:val="auto"/>
        </w:rPr>
      </w:pPr>
      <w:r>
        <w:rPr>
          <w:rFonts w:ascii="Arial" w:cs="Arial" w:eastAsia="Arial" w:hAnsi="Arial"/>
          <w:sz w:val="16"/>
          <w:szCs w:val="16"/>
          <w:color w:val="auto"/>
          <w:highlight w:val="white"/>
        </w:rPr>
        <w:t>▪</w:t>
      </w:r>
      <w:r>
        <w:rPr>
          <w:sz w:val="20"/>
          <w:szCs w:val="20"/>
          <w:color w:val="auto"/>
        </w:rPr>
        <w:tab/>
      </w:r>
      <w:r>
        <w:rPr>
          <w:rFonts w:ascii="Arial" w:cs="Arial" w:eastAsia="Arial" w:hAnsi="Arial"/>
          <w:sz w:val="14"/>
          <w:szCs w:val="14"/>
          <w:color w:val="auto"/>
          <w:highlight w:val="white"/>
        </w:rPr>
        <w:t>Adjusted Revenue Growth and Adjusted EPS Growth are measured annually against annual growth targets that were set at the start of the performance period. These metrics were selected to help ensure</w:t>
      </w:r>
    </w:p>
    <w:p>
      <w:pPr>
        <w:spacing w:after="0" w:line="8" w:lineRule="exact"/>
        <w:rPr>
          <w:sz w:val="20"/>
          <w:szCs w:val="20"/>
          <w:color w:val="auto"/>
        </w:rPr>
      </w:pPr>
    </w:p>
    <w:p>
      <w:pPr>
        <w:ind w:left="2220" w:right="219"/>
        <w:spacing w:after="0" w:line="325" w:lineRule="auto"/>
        <w:rPr>
          <w:sz w:val="20"/>
          <w:szCs w:val="20"/>
          <w:color w:val="auto"/>
        </w:rPr>
      </w:pPr>
      <w:r>
        <w:rPr>
          <w:rFonts w:ascii="Arial" w:cs="Arial" w:eastAsia="Arial" w:hAnsi="Arial"/>
          <w:sz w:val="14"/>
          <w:szCs w:val="14"/>
          <w:color w:val="auto"/>
          <w:highlight w:val="white"/>
        </w:rPr>
        <w:t>alignment with the shareholder expectation for financial performance and our long-range strategic plans at the time of grant.</w:t>
      </w:r>
    </w:p>
    <w:p>
      <w:pPr>
        <w:spacing w:after="0" w:line="5" w:lineRule="exact"/>
        <w:rPr>
          <w:sz w:val="20"/>
          <w:szCs w:val="20"/>
          <w:color w:val="auto"/>
        </w:rPr>
      </w:pPr>
    </w:p>
    <w:p>
      <w:pPr>
        <w:jc w:val="center"/>
        <w:ind w:left="1680"/>
        <w:spacing w:after="0"/>
        <w:tabs>
          <w:tab w:leader="none" w:pos="120" w:val="left"/>
        </w:tabs>
        <w:rPr>
          <w:sz w:val="20"/>
          <w:szCs w:val="20"/>
          <w:color w:val="auto"/>
        </w:rPr>
      </w:pPr>
      <w:r>
        <w:rPr>
          <w:rFonts w:ascii="Arial" w:cs="Arial" w:eastAsia="Arial" w:hAnsi="Arial"/>
          <w:sz w:val="16"/>
          <w:szCs w:val="16"/>
          <w:color w:val="auto"/>
          <w:highlight w:val="white"/>
        </w:rPr>
        <w:t>▪</w:t>
      </w:r>
      <w:r>
        <w:rPr>
          <w:sz w:val="20"/>
          <w:szCs w:val="20"/>
          <w:color w:val="auto"/>
        </w:rPr>
        <w:tab/>
      </w:r>
      <w:r>
        <w:rPr>
          <w:rFonts w:ascii="Arial" w:cs="Arial" w:eastAsia="Arial" w:hAnsi="Arial"/>
          <w:sz w:val="14"/>
          <w:szCs w:val="14"/>
          <w:color w:val="auto"/>
          <w:highlight w:val="white"/>
        </w:rPr>
        <w:t>The PSUs are also subject to a single, cumulative three-year relative TSR (rTSR) modifier, which can</w:t>
      </w:r>
    </w:p>
    <w:p>
      <w:pPr>
        <w:spacing w:after="0" w:line="24" w:lineRule="exact"/>
        <w:rPr>
          <w:sz w:val="20"/>
          <w:szCs w:val="20"/>
          <w:color w:val="auto"/>
        </w:rPr>
      </w:pPr>
    </w:p>
    <w:p>
      <w:pPr>
        <w:ind w:left="2220" w:right="559"/>
        <w:spacing w:after="0" w:line="304" w:lineRule="auto"/>
        <w:rPr>
          <w:sz w:val="20"/>
          <w:szCs w:val="20"/>
          <w:color w:val="auto"/>
        </w:rPr>
      </w:pPr>
      <w:r>
        <w:rPr>
          <w:rFonts w:ascii="Arial" w:cs="Arial" w:eastAsia="Arial" w:hAnsi="Arial"/>
          <w:sz w:val="14"/>
          <w:szCs w:val="14"/>
          <w:color w:val="auto"/>
          <w:highlight w:val="white"/>
        </w:rPr>
        <w:t>influence the quantity of earned shares +/- 25%, if performance ranks above the 75th percentile or below the 25th percentile of the S&amp;P 500 Index over the three-year performance period.</w:t>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highlight w:val="white"/>
        </w:rPr>
        <w:t>Results:</w:t>
      </w:r>
    </w:p>
    <w:p>
      <w:pPr>
        <w:spacing w:after="0" w:line="64" w:lineRule="exact"/>
        <w:rPr>
          <w:sz w:val="20"/>
          <w:szCs w:val="20"/>
          <w:color w:val="auto"/>
        </w:rPr>
      </w:pPr>
    </w:p>
    <w:p>
      <w:pPr>
        <w:jc w:val="both"/>
        <w:ind w:left="2040" w:right="639" w:hanging="199"/>
        <w:spacing w:after="0" w:line="273" w:lineRule="auto"/>
        <w:tabs>
          <w:tab w:leader="none" w:pos="2020" w:val="left"/>
        </w:tabs>
        <w:rPr>
          <w:sz w:val="20"/>
          <w:szCs w:val="20"/>
          <w:color w:val="auto"/>
        </w:rPr>
      </w:pPr>
      <w:r>
        <w:rPr>
          <w:rFonts w:ascii="Arial" w:cs="Arial" w:eastAsia="Arial" w:hAnsi="Arial"/>
          <w:sz w:val="16"/>
          <w:szCs w:val="16"/>
          <w:color w:val="auto"/>
          <w:highlight w:val="white"/>
        </w:rPr>
        <w:t>•</w:t>
      </w:r>
      <w:r>
        <w:rPr>
          <w:sz w:val="20"/>
          <w:szCs w:val="20"/>
          <w:color w:val="auto"/>
        </w:rPr>
        <w:tab/>
      </w:r>
      <w:r>
        <w:rPr>
          <w:rFonts w:ascii="Arial" w:cs="Arial" w:eastAsia="Arial" w:hAnsi="Arial"/>
          <w:sz w:val="14"/>
          <w:szCs w:val="14"/>
          <w:color w:val="auto"/>
          <w:highlight w:val="white"/>
        </w:rPr>
        <w:t>Consistent with the shareholder experience, the 2023 PSUs paid out at 50% of the target number of shares based on our rTSR compared to the S&amp;P 500 Index over the three-year performance period (2023-2025), reflecting the threshold level of performance.</w:t>
      </w:r>
    </w:p>
    <w:p>
      <w:pPr>
        <w:spacing w:after="0" w:line="59" w:lineRule="exact"/>
        <w:rPr>
          <w:sz w:val="20"/>
          <w:szCs w:val="20"/>
          <w:color w:val="auto"/>
        </w:rPr>
      </w:pPr>
    </w:p>
    <w:p>
      <w:pPr>
        <w:ind w:left="2040" w:right="199" w:hanging="199"/>
        <w:spacing w:after="0" w:line="291" w:lineRule="auto"/>
        <w:tabs>
          <w:tab w:leader="none" w:pos="2020" w:val="left"/>
        </w:tabs>
        <w:rPr>
          <w:sz w:val="20"/>
          <w:szCs w:val="20"/>
          <w:color w:val="auto"/>
        </w:rPr>
      </w:pPr>
      <w:r>
        <w:rPr>
          <w:rFonts w:ascii="Arial" w:cs="Arial" w:eastAsia="Arial" w:hAnsi="Arial"/>
          <w:sz w:val="16"/>
          <w:szCs w:val="16"/>
          <w:color w:val="auto"/>
          <w:highlight w:val="white"/>
        </w:rPr>
        <w:t>•</w:t>
      </w:r>
      <w:r>
        <w:rPr>
          <w:sz w:val="20"/>
          <w:szCs w:val="20"/>
          <w:color w:val="auto"/>
        </w:rPr>
        <w:tab/>
      </w:r>
      <w:r>
        <w:rPr>
          <w:rFonts w:ascii="Arial" w:cs="Arial" w:eastAsia="Arial" w:hAnsi="Arial"/>
          <w:sz w:val="14"/>
          <w:szCs w:val="14"/>
          <w:color w:val="auto"/>
          <w:highlight w:val="white"/>
        </w:rPr>
        <w:t>The 2024 PSUs were earned at 200% of target for the 2025 measurement period (subject to the three-year +/- rTSR modifier for the CEO and CFO) based on Revenue growth and EPS growth.</w:t>
      </w:r>
    </w:p>
    <w:p>
      <w:pPr>
        <w:spacing w:after="0" w:line="54" w:lineRule="exact"/>
        <w:rPr>
          <w:sz w:val="20"/>
          <w:szCs w:val="20"/>
          <w:color w:val="auto"/>
        </w:rPr>
      </w:pPr>
    </w:p>
    <w:p>
      <w:pPr>
        <w:ind w:left="2040" w:right="259" w:hanging="199"/>
        <w:spacing w:after="0" w:line="311" w:lineRule="auto"/>
        <w:tabs>
          <w:tab w:leader="none" w:pos="2020" w:val="left"/>
        </w:tabs>
        <w:rPr>
          <w:sz w:val="20"/>
          <w:szCs w:val="20"/>
          <w:color w:val="auto"/>
        </w:rPr>
      </w:pPr>
      <w:r>
        <w:rPr>
          <w:rFonts w:ascii="Arial" w:cs="Arial" w:eastAsia="Arial" w:hAnsi="Arial"/>
          <w:sz w:val="16"/>
          <w:szCs w:val="16"/>
          <w:color w:val="auto"/>
          <w:highlight w:val="white"/>
        </w:rPr>
        <w:t>•</w:t>
      </w:r>
      <w:r>
        <w:rPr>
          <w:sz w:val="20"/>
          <w:szCs w:val="20"/>
          <w:color w:val="auto"/>
        </w:rPr>
        <w:tab/>
      </w:r>
      <w:r>
        <w:rPr>
          <w:rFonts w:ascii="Arial" w:cs="Arial" w:eastAsia="Arial" w:hAnsi="Arial"/>
          <w:sz w:val="14"/>
          <w:szCs w:val="14"/>
          <w:color w:val="auto"/>
          <w:highlight w:val="white"/>
        </w:rPr>
        <w:t>In fiscal 2025, the 2025 PSUs were earned at 117% of target for the 2025 measurement period (subject to the three-year +/- rTSR modifier) based on Revenue growth and EPS growth.</w:t>
      </w:r>
    </w:p>
    <w:p>
      <w:pPr>
        <w:spacing w:after="0" w:line="25" w:lineRule="exact"/>
        <w:rPr>
          <w:sz w:val="20"/>
          <w:szCs w:val="20"/>
          <w:color w:val="auto"/>
        </w:rPr>
      </w:pPr>
    </w:p>
    <w:p>
      <w:pPr>
        <w:ind w:left="2040" w:right="259" w:hanging="199"/>
        <w:spacing w:after="0" w:line="283" w:lineRule="auto"/>
        <w:tabs>
          <w:tab w:leader="none" w:pos="2020" w:val="left"/>
        </w:tabs>
        <w:rPr>
          <w:sz w:val="20"/>
          <w:szCs w:val="20"/>
          <w:color w:val="auto"/>
        </w:rPr>
      </w:pPr>
      <w:r>
        <w:rPr>
          <w:rFonts w:ascii="Arial" w:cs="Arial" w:eastAsia="Arial" w:hAnsi="Arial"/>
          <w:sz w:val="16"/>
          <w:szCs w:val="16"/>
          <w:color w:val="auto"/>
          <w:highlight w:val="white"/>
        </w:rPr>
        <w:t>•</w:t>
      </w:r>
      <w:r>
        <w:rPr>
          <w:sz w:val="20"/>
          <w:szCs w:val="20"/>
          <w:color w:val="auto"/>
        </w:rPr>
        <w:tab/>
      </w:r>
      <w:r>
        <w:rPr>
          <w:rFonts w:ascii="Arial" w:cs="Arial" w:eastAsia="Arial" w:hAnsi="Arial"/>
          <w:sz w:val="14"/>
          <w:szCs w:val="14"/>
          <w:color w:val="auto"/>
          <w:highlight w:val="white"/>
        </w:rPr>
        <w:t>The value of the earned amount under the 2025 and 2024 PSUs will remain subject to market risk based on changes in our stock price until the earned shares are paid out (based on continued service) in the first quarters of 2028 and 2027, respectively.</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20" w:hanging="429"/>
        <w:spacing w:after="0"/>
        <w:tabs>
          <w:tab w:leader="none" w:pos="620" w:val="left"/>
        </w:tabs>
        <w:numPr>
          <w:ilvl w:val="0"/>
          <w:numId w:val="22"/>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17" w:name="page18"/>
    <w:bookmarkEnd w:id="17"/>
    <w:p>
      <w:pPr>
        <w:ind w:left="778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Proxy Summary</w:t>
      </w:r>
    </w:p>
    <w:p>
      <w:pPr>
        <w:spacing w:after="0" w:line="200" w:lineRule="exact"/>
        <w:rPr>
          <w:sz w:val="20"/>
          <w:szCs w:val="20"/>
          <w:color w:val="auto"/>
        </w:rPr>
      </w:pPr>
    </w:p>
    <w:p>
      <w:pPr>
        <w:spacing w:after="0" w:line="32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431C5B"/>
        </w:rPr>
        <w:t>PROPOSAL 3</w:t>
      </w:r>
    </w:p>
    <w:p>
      <w:pPr>
        <w:spacing w:after="0" w:line="40" w:lineRule="exact"/>
        <w:rPr>
          <w:sz w:val="20"/>
          <w:szCs w:val="20"/>
          <w:color w:val="auto"/>
        </w:rPr>
      </w:pPr>
    </w:p>
    <w:p>
      <w:pPr>
        <w:ind w:left="620" w:right="1199"/>
        <w:spacing w:after="0" w:line="310" w:lineRule="auto"/>
        <w:rPr>
          <w:sz w:val="20"/>
          <w:szCs w:val="20"/>
          <w:color w:val="auto"/>
        </w:rPr>
      </w:pPr>
      <w:r>
        <w:rPr>
          <w:rFonts w:ascii="Arial" w:cs="Arial" w:eastAsia="Arial" w:hAnsi="Arial"/>
          <w:sz w:val="36"/>
          <w:szCs w:val="36"/>
          <w:color w:val="auto"/>
        </w:rPr>
        <w:t>Ratification of Independent Registered Public Accounting Firm</w:t>
      </w:r>
    </w:p>
    <w:p>
      <w:pPr>
        <w:spacing w:after="0" w:line="210" w:lineRule="exact"/>
        <w:rPr>
          <w:sz w:val="20"/>
          <w:szCs w:val="20"/>
          <w:color w:val="auto"/>
        </w:rPr>
      </w:pPr>
    </w:p>
    <w:p>
      <w:pPr>
        <w:ind w:left="640"/>
        <w:spacing w:after="0"/>
        <w:tabs>
          <w:tab w:leader="none" w:pos="7520" w:val="left"/>
        </w:tabs>
        <w:rPr>
          <w:sz w:val="20"/>
          <w:szCs w:val="20"/>
          <w:color w:val="auto"/>
        </w:rPr>
      </w:pPr>
      <w:r>
        <w:rPr>
          <w:rFonts w:ascii="Arial" w:cs="Arial" w:eastAsia="Arial" w:hAnsi="Arial"/>
          <w:sz w:val="16"/>
          <w:szCs w:val="16"/>
          <w:color w:val="FFFFFF"/>
        </w:rPr>
        <w:t xml:space="preserve">The Board recommends that the shareholders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this proposal.</w:t>
      </w:r>
      <w:r>
        <w:rPr>
          <w:sz w:val="20"/>
          <w:szCs w:val="20"/>
          <w:color w:val="auto"/>
        </w:rPr>
        <w:tab/>
      </w:r>
      <w:r>
        <w:rPr>
          <w:rFonts w:ascii="Arial" w:cs="Arial" w:eastAsia="Arial" w:hAnsi="Arial"/>
          <w:sz w:val="16"/>
          <w:szCs w:val="16"/>
          <w:color w:val="auto"/>
        </w:rPr>
        <w:t xml:space="preserve">See page </w:t>
      </w:r>
      <w:r>
        <w:rPr>
          <w:rFonts w:ascii="Arial" w:cs="Arial" w:eastAsia="Arial" w:hAnsi="Arial"/>
          <w:sz w:val="16"/>
          <w:szCs w:val="16"/>
          <w:b w:val="1"/>
          <w:bCs w:val="1"/>
          <w:color w:val="auto"/>
        </w:rPr>
        <w:t>89</w:t>
      </w:r>
    </w:p>
    <w:p>
      <w:pPr>
        <w:spacing w:after="0" w:line="394" w:lineRule="exact"/>
        <w:rPr>
          <w:sz w:val="20"/>
          <w:szCs w:val="20"/>
          <w:color w:val="auto"/>
        </w:rPr>
      </w:pPr>
    </w:p>
    <w:p>
      <w:pPr>
        <w:ind w:left="140" w:right="799"/>
        <w:spacing w:after="0" w:line="282" w:lineRule="auto"/>
        <w:rPr>
          <w:sz w:val="20"/>
          <w:szCs w:val="20"/>
          <w:color w:val="auto"/>
        </w:rPr>
      </w:pPr>
      <w:r>
        <w:rPr>
          <w:rFonts w:ascii="Arial" w:cs="Arial" w:eastAsia="Arial" w:hAnsi="Arial"/>
          <w:sz w:val="32"/>
          <w:szCs w:val="32"/>
          <w:b w:val="1"/>
          <w:bCs w:val="1"/>
          <w:color w:val="431C5B"/>
        </w:rPr>
        <w:t>Ratification of KPMG as the Company’s Independent Registered Public Accounting Firm</w:t>
      </w:r>
    </w:p>
    <w:p>
      <w:pPr>
        <w:spacing w:after="0" w:line="2" w:lineRule="exact"/>
        <w:rPr>
          <w:sz w:val="20"/>
          <w:szCs w:val="20"/>
          <w:color w:val="auto"/>
        </w:rPr>
      </w:pPr>
    </w:p>
    <w:p>
      <w:pPr>
        <w:ind w:left="140" w:right="179"/>
        <w:spacing w:after="0" w:line="270" w:lineRule="auto"/>
        <w:rPr>
          <w:sz w:val="20"/>
          <w:szCs w:val="20"/>
          <w:color w:val="auto"/>
        </w:rPr>
      </w:pPr>
      <w:r>
        <w:rPr>
          <w:rFonts w:ascii="Arial" w:cs="Arial" w:eastAsia="Arial" w:hAnsi="Arial"/>
          <w:sz w:val="16"/>
          <w:szCs w:val="16"/>
          <w:color w:val="auto"/>
        </w:rPr>
        <w:t>Although shareholder ratification of the appointment of our independent registered public accounting firm is not required by our Bylaws or otherwise, we are submitting the selection of KPMG to our shareholders for ratification. Even if the selection is ratified, the Audit Committee, in its discretion, may select a different independent registered public accounting firm at any time if it determines that such a change would be in the best interests of the Company and our shareholders. If our shareholders do not ratify the Audit Committee’s selection, the Audit Committee will take that fact into consideration, together with such other factors it deems relevant, in determining its next selection of an independent registered public accounting firm.</w:t>
      </w:r>
    </w:p>
    <w:p>
      <w:pPr>
        <w:spacing w:after="0" w:line="36" w:lineRule="exact"/>
        <w:rPr>
          <w:sz w:val="20"/>
          <w:szCs w:val="20"/>
          <w:color w:val="auto"/>
        </w:rPr>
      </w:pPr>
    </w:p>
    <w:p>
      <w:pPr>
        <w:ind w:left="140" w:right="299"/>
        <w:spacing w:after="0" w:line="274" w:lineRule="auto"/>
        <w:rPr>
          <w:sz w:val="20"/>
          <w:szCs w:val="20"/>
          <w:color w:val="auto"/>
        </w:rPr>
      </w:pPr>
      <w:r>
        <w:rPr>
          <w:rFonts w:ascii="Arial" w:cs="Arial" w:eastAsia="Arial" w:hAnsi="Arial"/>
          <w:sz w:val="16"/>
          <w:szCs w:val="16"/>
          <w:color w:val="auto"/>
        </w:rPr>
        <w:t>In choosing our independent registered public accounting firm, our Audit Committee conducts a comprehensive review of the qualifications of those individuals who will lead and serve on the engagement team, the quality control procedures the firm has established, and any issues raised by the most recent quality control review of the firm. The review also includes matters required to be considered under the SEC rules on “Auditor Independence,” including the nature and extent of non-audit services, to ensure that they will not impair the independence of the accountants.</w:t>
      </w:r>
    </w:p>
    <w:p>
      <w:pPr>
        <w:spacing w:after="0" w:line="43" w:lineRule="exact"/>
        <w:rPr>
          <w:sz w:val="20"/>
          <w:szCs w:val="20"/>
          <w:color w:val="auto"/>
        </w:rPr>
      </w:pPr>
    </w:p>
    <w:p>
      <w:pPr>
        <w:ind w:left="140" w:right="859"/>
        <w:spacing w:after="0" w:line="304" w:lineRule="auto"/>
        <w:rPr>
          <w:sz w:val="20"/>
          <w:szCs w:val="20"/>
          <w:color w:val="auto"/>
        </w:rPr>
      </w:pPr>
      <w:r>
        <w:rPr>
          <w:rFonts w:ascii="Arial" w:cs="Arial" w:eastAsia="Arial" w:hAnsi="Arial"/>
          <w:sz w:val="16"/>
          <w:szCs w:val="16"/>
          <w:color w:val="auto"/>
        </w:rPr>
        <w:t>Representatives of KPMG are expected to be present at the annual meeting. These representatives will have an opportunity to make a statement if they so desire and will be available to respond to appropriate questions.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Principal Accounting Fees and Services</w:t>
      </w:r>
    </w:p>
    <w:p>
      <w:pPr>
        <w:spacing w:after="0" w:line="107" w:lineRule="exact"/>
        <w:rPr>
          <w:sz w:val="20"/>
          <w:szCs w:val="20"/>
          <w:color w:val="auto"/>
        </w:rPr>
      </w:pPr>
    </w:p>
    <w:p>
      <w:pPr>
        <w:jc w:val="both"/>
        <w:ind w:left="140" w:right="379"/>
        <w:spacing w:after="0" w:line="284" w:lineRule="auto"/>
        <w:rPr>
          <w:sz w:val="20"/>
          <w:szCs w:val="20"/>
          <w:color w:val="auto"/>
        </w:rPr>
      </w:pPr>
      <w:r>
        <w:rPr>
          <w:rFonts w:ascii="Arial" w:cs="Arial" w:eastAsia="Arial" w:hAnsi="Arial"/>
          <w:sz w:val="16"/>
          <w:szCs w:val="16"/>
          <w:color w:val="auto"/>
        </w:rPr>
        <w:t>The Audit Committee engaged KPMG to audit the consolidated financial statements of the Company for the 2025 fiscal year. For services rendered to us during or in connection with our fiscal years ended December 31, 2025 and 2024, we were billed the following fees by KPMG:</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Borders>
              <w:bottom w:val="single" w:sz="8" w:color="431C5B"/>
            </w:tcBorders>
          </w:tcPr>
          <w:p>
            <w:pPr>
              <w:spacing w:after="0"/>
              <w:rPr>
                <w:sz w:val="14"/>
                <w:szCs w:val="14"/>
                <w:color w:val="auto"/>
              </w:rPr>
            </w:pPr>
          </w:p>
        </w:tc>
        <w:tc>
          <w:tcPr>
            <w:tcW w:w="2620" w:type="dxa"/>
            <w:vAlign w:val="bottom"/>
            <w:tcBorders>
              <w:bottom w:val="single" w:sz="8" w:color="431C5B"/>
            </w:tcBorders>
          </w:tcPr>
          <w:p>
            <w:pPr>
              <w:spacing w:after="0"/>
              <w:rPr>
                <w:sz w:val="14"/>
                <w:szCs w:val="14"/>
                <w:color w:val="auto"/>
              </w:rPr>
            </w:pPr>
          </w:p>
        </w:tc>
        <w:tc>
          <w:tcPr>
            <w:tcW w:w="940" w:type="dxa"/>
            <w:vAlign w:val="bottom"/>
            <w:tcBorders>
              <w:bottom w:val="single" w:sz="8" w:color="431C5B"/>
            </w:tcBorders>
          </w:tcPr>
          <w:p>
            <w:pPr>
              <w:jc w:val="right"/>
              <w:ind w:right="81"/>
              <w:spacing w:after="0"/>
              <w:rPr>
                <w:sz w:val="20"/>
                <w:szCs w:val="20"/>
                <w:color w:val="auto"/>
              </w:rPr>
            </w:pPr>
            <w:r>
              <w:rPr>
                <w:rFonts w:ascii="Arial" w:cs="Arial" w:eastAsia="Arial" w:hAnsi="Arial"/>
                <w:sz w:val="14"/>
                <w:szCs w:val="14"/>
                <w:b w:val="1"/>
                <w:bCs w:val="1"/>
                <w:color w:val="431C5B"/>
              </w:rPr>
              <w:t>2025</w:t>
            </w:r>
          </w:p>
        </w:tc>
        <w:tc>
          <w:tcPr>
            <w:tcW w:w="240" w:type="dxa"/>
            <w:vAlign w:val="bottom"/>
            <w:tcBorders>
              <w:bottom w:val="single" w:sz="8" w:color="431C5B"/>
            </w:tcBorders>
          </w:tcPr>
          <w:p>
            <w:pPr>
              <w:spacing w:after="0"/>
              <w:rPr>
                <w:sz w:val="14"/>
                <w:szCs w:val="14"/>
                <w:color w:val="auto"/>
              </w:rPr>
            </w:pPr>
          </w:p>
        </w:tc>
        <w:tc>
          <w:tcPr>
            <w:tcW w:w="90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2024</w:t>
            </w:r>
          </w:p>
        </w:tc>
      </w:tr>
      <w:tr>
        <w:trPr>
          <w:trHeight w:val="237"/>
        </w:trPr>
        <w:tc>
          <w:tcPr>
            <w:tcW w:w="4060" w:type="dxa"/>
            <w:vAlign w:val="bottom"/>
            <w:tcBorders>
              <w:bottom w:val="single" w:sz="8" w:color="CCCCCC"/>
            </w:tcBorders>
            <w:shd w:val="clear" w:color="auto" w:fill="EEFAEC"/>
          </w:tcPr>
          <w:p>
            <w:pPr>
              <w:ind w:left="80"/>
              <w:spacing w:after="0" w:line="237" w:lineRule="exact"/>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3560" w:type="dxa"/>
            <w:vAlign w:val="bottom"/>
            <w:tcBorders>
              <w:bottom w:val="single" w:sz="8" w:color="CCCCCC"/>
            </w:tcBorders>
            <w:gridSpan w:val="2"/>
            <w:shd w:val="clear" w:color="auto" w:fill="EEFAEC"/>
          </w:tcPr>
          <w:p>
            <w:pPr>
              <w:ind w:left="2500"/>
              <w:spacing w:after="0"/>
              <w:rPr>
                <w:sz w:val="20"/>
                <w:szCs w:val="20"/>
                <w:color w:val="auto"/>
              </w:rPr>
            </w:pPr>
            <w:r>
              <w:rPr>
                <w:rFonts w:ascii="Arial" w:cs="Arial" w:eastAsia="Arial" w:hAnsi="Arial"/>
                <w:sz w:val="16"/>
                <w:szCs w:val="16"/>
                <w:color w:val="auto"/>
              </w:rPr>
              <w:t>$11,883,995</w:t>
            </w:r>
          </w:p>
        </w:tc>
        <w:tc>
          <w:tcPr>
            <w:tcW w:w="240" w:type="dxa"/>
            <w:vAlign w:val="bottom"/>
            <w:tcBorders>
              <w:bottom w:val="single" w:sz="8" w:color="CCCCCC"/>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CCCC"/>
            </w:tcBorders>
            <w:shd w:val="clear" w:color="auto" w:fill="EEFAEC"/>
          </w:tcPr>
          <w:p>
            <w:pPr>
              <w:jc w:val="right"/>
              <w:spacing w:after="0"/>
              <w:rPr>
                <w:sz w:val="20"/>
                <w:szCs w:val="20"/>
                <w:color w:val="auto"/>
              </w:rPr>
            </w:pPr>
            <w:r>
              <w:rPr>
                <w:rFonts w:ascii="Arial" w:cs="Arial" w:eastAsia="Arial" w:hAnsi="Arial"/>
                <w:sz w:val="16"/>
                <w:szCs w:val="16"/>
                <w:color w:val="auto"/>
              </w:rPr>
              <w:t>12,253,934</w:t>
            </w:r>
          </w:p>
        </w:tc>
      </w:tr>
      <w:tr>
        <w:trPr>
          <w:trHeight w:val="236"/>
        </w:trPr>
        <w:tc>
          <w:tcPr>
            <w:tcW w:w="4060" w:type="dxa"/>
            <w:vAlign w:val="bottom"/>
            <w:tcBorders>
              <w:bottom w:val="single" w:sz="8" w:color="CCCCCC"/>
            </w:tcBorders>
          </w:tcPr>
          <w:p>
            <w:pPr>
              <w:ind w:left="80"/>
              <w:spacing w:after="0" w:line="237" w:lineRule="exact"/>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2620" w:type="dxa"/>
            <w:vAlign w:val="bottom"/>
            <w:tcBorders>
              <w:bottom w:val="single" w:sz="8" w:color="CCCCCC"/>
            </w:tcBorders>
          </w:tcPr>
          <w:p>
            <w:pPr>
              <w:ind w:left="25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CCCC"/>
            </w:tcBorders>
          </w:tcPr>
          <w:p>
            <w:pPr>
              <w:jc w:val="right"/>
              <w:ind w:right="101"/>
              <w:spacing w:after="0"/>
              <w:rPr>
                <w:sz w:val="20"/>
                <w:szCs w:val="20"/>
                <w:color w:val="auto"/>
              </w:rPr>
            </w:pPr>
            <w:r>
              <w:rPr>
                <w:rFonts w:ascii="Arial" w:cs="Arial" w:eastAsia="Arial" w:hAnsi="Arial"/>
                <w:sz w:val="16"/>
                <w:szCs w:val="16"/>
                <w:color w:val="auto"/>
              </w:rPr>
              <w:t>337,434</w:t>
            </w:r>
          </w:p>
        </w:tc>
        <w:tc>
          <w:tcPr>
            <w:tcW w:w="240" w:type="dxa"/>
            <w:vAlign w:val="bottom"/>
            <w:tcBorders>
              <w:bottom w:val="single" w:sz="8" w:color="CCCCC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CCCC"/>
            </w:tcBorders>
          </w:tcPr>
          <w:p>
            <w:pPr>
              <w:jc w:val="right"/>
              <w:spacing w:after="0"/>
              <w:rPr>
                <w:sz w:val="20"/>
                <w:szCs w:val="20"/>
                <w:color w:val="auto"/>
              </w:rPr>
            </w:pPr>
            <w:r>
              <w:rPr>
                <w:rFonts w:ascii="Arial" w:cs="Arial" w:eastAsia="Arial" w:hAnsi="Arial"/>
                <w:sz w:val="16"/>
                <w:szCs w:val="16"/>
                <w:color w:val="auto"/>
              </w:rPr>
              <w:t>315,351</w:t>
            </w:r>
          </w:p>
        </w:tc>
      </w:tr>
      <w:tr>
        <w:trPr>
          <w:trHeight w:val="237"/>
        </w:trPr>
        <w:tc>
          <w:tcPr>
            <w:tcW w:w="4060" w:type="dxa"/>
            <w:vAlign w:val="bottom"/>
            <w:tcBorders>
              <w:bottom w:val="single" w:sz="8" w:color="CCCCCC"/>
            </w:tcBorders>
            <w:shd w:val="clear" w:color="auto" w:fill="EEFAEC"/>
          </w:tcPr>
          <w:p>
            <w:pPr>
              <w:ind w:left="80"/>
              <w:spacing w:after="0" w:line="237"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2620" w:type="dxa"/>
            <w:vAlign w:val="bottom"/>
            <w:tcBorders>
              <w:bottom w:val="single" w:sz="8" w:color="CCCCCC"/>
            </w:tcBorders>
            <w:shd w:val="clear" w:color="auto" w:fill="EEFAEC"/>
          </w:tcPr>
          <w:p>
            <w:pPr>
              <w:ind w:left="25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CCCC"/>
            </w:tcBorders>
            <w:shd w:val="clear" w:color="auto" w:fill="EEFAEC"/>
          </w:tcPr>
          <w:p>
            <w:pPr>
              <w:jc w:val="right"/>
              <w:ind w:right="101"/>
              <w:spacing w:after="0"/>
              <w:rPr>
                <w:sz w:val="20"/>
                <w:szCs w:val="20"/>
                <w:color w:val="auto"/>
              </w:rPr>
            </w:pPr>
            <w:r>
              <w:rPr>
                <w:rFonts w:ascii="Arial" w:cs="Arial" w:eastAsia="Arial" w:hAnsi="Arial"/>
                <w:sz w:val="16"/>
                <w:szCs w:val="16"/>
                <w:color w:val="auto"/>
              </w:rPr>
              <w:t>2,385,629</w:t>
            </w:r>
          </w:p>
        </w:tc>
        <w:tc>
          <w:tcPr>
            <w:tcW w:w="240" w:type="dxa"/>
            <w:vAlign w:val="bottom"/>
            <w:tcBorders>
              <w:bottom w:val="single" w:sz="8" w:color="CCCCCC"/>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CCCC"/>
            </w:tcBorders>
            <w:shd w:val="clear" w:color="auto" w:fill="EEFAEC"/>
          </w:tcPr>
          <w:p>
            <w:pPr>
              <w:jc w:val="right"/>
              <w:spacing w:after="0"/>
              <w:rPr>
                <w:sz w:val="20"/>
                <w:szCs w:val="20"/>
                <w:color w:val="auto"/>
              </w:rPr>
            </w:pPr>
            <w:r>
              <w:rPr>
                <w:rFonts w:ascii="Arial" w:cs="Arial" w:eastAsia="Arial" w:hAnsi="Arial"/>
                <w:sz w:val="16"/>
                <w:szCs w:val="16"/>
                <w:color w:val="auto"/>
              </w:rPr>
              <w:t>1,870,201</w:t>
            </w:r>
          </w:p>
        </w:tc>
      </w:tr>
      <w:tr>
        <w:trPr>
          <w:trHeight w:val="236"/>
        </w:trPr>
        <w:tc>
          <w:tcPr>
            <w:tcW w:w="4060" w:type="dxa"/>
            <w:vAlign w:val="bottom"/>
            <w:tcBorders>
              <w:bottom w:val="single" w:sz="8" w:color="431C5B"/>
            </w:tcBorders>
          </w:tcPr>
          <w:p>
            <w:pPr>
              <w:ind w:left="80"/>
              <w:spacing w:after="0" w:line="237"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2620" w:type="dxa"/>
            <w:vAlign w:val="bottom"/>
            <w:tcBorders>
              <w:bottom w:val="single" w:sz="8" w:color="431C5B"/>
            </w:tcBorders>
          </w:tcPr>
          <w:p>
            <w:pPr>
              <w:ind w:left="25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31C5B"/>
            </w:tcBorders>
          </w:tcPr>
          <w:p>
            <w:pPr>
              <w:jc w:val="right"/>
              <w:ind w:right="101"/>
              <w:spacing w:after="0"/>
              <w:rPr>
                <w:sz w:val="20"/>
                <w:szCs w:val="20"/>
                <w:color w:val="auto"/>
              </w:rPr>
            </w:pPr>
            <w:r>
              <w:rPr>
                <w:rFonts w:ascii="Arial" w:cs="Arial" w:eastAsia="Arial" w:hAnsi="Arial"/>
                <w:sz w:val="16"/>
                <w:szCs w:val="16"/>
                <w:color w:val="auto"/>
              </w:rPr>
              <w:t>275,207</w:t>
            </w:r>
          </w:p>
        </w:tc>
        <w:tc>
          <w:tcPr>
            <w:tcW w:w="24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475,002</w:t>
            </w:r>
          </w:p>
        </w:tc>
      </w:tr>
    </w:tbl>
    <w:p>
      <w:pPr>
        <w:spacing w:after="0" w:line="158" w:lineRule="exact"/>
        <w:rPr>
          <w:sz w:val="20"/>
          <w:szCs w:val="20"/>
          <w:color w:val="auto"/>
        </w:rPr>
      </w:pPr>
    </w:p>
    <w:p>
      <w:pPr>
        <w:ind w:left="380" w:right="319" w:hanging="250"/>
        <w:spacing w:after="0" w:line="270" w:lineRule="auto"/>
        <w:tabs>
          <w:tab w:leader="none" w:pos="380" w:val="left"/>
        </w:tabs>
        <w:numPr>
          <w:ilvl w:val="0"/>
          <w:numId w:val="23"/>
        </w:numPr>
        <w:rPr>
          <w:rFonts w:ascii="Arial" w:cs="Arial" w:eastAsia="Arial" w:hAnsi="Arial"/>
          <w:sz w:val="15"/>
          <w:szCs w:val="15"/>
          <w:color w:val="auto"/>
          <w:vertAlign w:val="superscript"/>
        </w:rPr>
      </w:pPr>
      <w:r>
        <w:rPr>
          <w:rFonts w:ascii="Arial" w:cs="Arial" w:eastAsia="Arial" w:hAnsi="Arial"/>
          <w:sz w:val="12"/>
          <w:szCs w:val="12"/>
          <w:color w:val="auto"/>
        </w:rPr>
        <w:t>Audit fees consisted of fees for the audits, registration statements and other filings related to the Company’s 2025 and 2024 financial statements, and audits of the Company’s subsidiaries required for regulatory reporting purposes, including billings for out-of-pocket expenses incurred.</w:t>
      </w:r>
    </w:p>
    <w:p>
      <w:pPr>
        <w:ind w:left="380" w:hanging="250"/>
        <w:spacing w:after="0"/>
        <w:tabs>
          <w:tab w:leader="none" w:pos="38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Audit-related fees in 2025 and 2024 consisted primarily of fees for various assurance reports.</w:t>
      </w:r>
    </w:p>
    <w:p>
      <w:pPr>
        <w:spacing w:after="0" w:line="56" w:lineRule="exact"/>
        <w:rPr>
          <w:rFonts w:ascii="Arial" w:cs="Arial" w:eastAsia="Arial" w:hAnsi="Arial"/>
          <w:sz w:val="16"/>
          <w:szCs w:val="16"/>
          <w:color w:val="auto"/>
          <w:vertAlign w:val="superscript"/>
        </w:rPr>
      </w:pPr>
    </w:p>
    <w:p>
      <w:pPr>
        <w:ind w:left="380" w:hanging="250"/>
        <w:spacing w:after="0" w:line="207" w:lineRule="auto"/>
        <w:tabs>
          <w:tab w:leader="none" w:pos="38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Tax fees in 2025 and 2024 consisted principally of fees for tax compliance, tax planning and tax advice.</w:t>
      </w:r>
    </w:p>
    <w:p>
      <w:pPr>
        <w:spacing w:after="0" w:line="57" w:lineRule="exact"/>
        <w:rPr>
          <w:rFonts w:ascii="Arial" w:cs="Arial" w:eastAsia="Arial" w:hAnsi="Arial"/>
          <w:sz w:val="16"/>
          <w:szCs w:val="16"/>
          <w:color w:val="auto"/>
          <w:vertAlign w:val="superscript"/>
        </w:rPr>
      </w:pPr>
    </w:p>
    <w:p>
      <w:pPr>
        <w:ind w:left="380" w:hanging="250"/>
        <w:spacing w:after="0" w:line="207" w:lineRule="auto"/>
        <w:tabs>
          <w:tab w:leader="none" w:pos="38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Other non-audit permitted services associated with various initiatives by the Company.</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Approval of Accountants’ Services</w:t>
      </w:r>
    </w:p>
    <w:p>
      <w:pPr>
        <w:spacing w:after="0" w:line="107" w:lineRule="exact"/>
        <w:rPr>
          <w:sz w:val="20"/>
          <w:szCs w:val="20"/>
          <w:color w:val="auto"/>
        </w:rPr>
      </w:pPr>
    </w:p>
    <w:p>
      <w:pPr>
        <w:ind w:left="140" w:right="139"/>
        <w:spacing w:after="0" w:line="269" w:lineRule="auto"/>
        <w:rPr>
          <w:sz w:val="20"/>
          <w:szCs w:val="20"/>
          <w:color w:val="auto"/>
        </w:rPr>
      </w:pPr>
      <w:r>
        <w:rPr>
          <w:rFonts w:ascii="Arial" w:cs="Arial" w:eastAsia="Arial" w:hAnsi="Arial"/>
          <w:sz w:val="16"/>
          <w:szCs w:val="16"/>
          <w:color w:val="auto"/>
        </w:rPr>
        <w:t>In accordance with the requirements of the Sarbanes-Oxley Act of 2002, all audit and audit-related work and all non-audit work performed by KPMG is approved in advance by the Audit Committee. The Audit Committee has adopted policies and procedures for pre-approving work performed by KPMG. Specifically, the Audit Committee has pre-approved the use of KPMG for specific types of services subject to maximum amounts set by the committee. Additionally, specific pre-approval authority is delegated to our Audit Committee chair, provided that the estimated fee for the proposed service does not exceed a pre-approved maximum amount set by the committee. Our Audit Committee chair must report any pre-approval decisions to the Audit Committee at its next scheduled meeting. Any other services are required to be pre-approved by the Audit Committee.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15</w:t>
      </w:r>
    </w:p>
    <w:p>
      <w:pPr>
        <w:sectPr>
          <w:pgSz w:w="11900" w:h="16838" w:orient="portrait"/>
          <w:cols w:equalWidth="0" w:num="1">
            <w:col w:w="9019"/>
          </w:cols>
          <w:pgMar w:left="1440" w:top="657" w:right="1440"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hanging="429"/>
        <w:spacing w:after="0"/>
        <w:tabs>
          <w:tab w:leader="none" w:pos="620" w:val="left"/>
        </w:tabs>
        <w:numPr>
          <w:ilvl w:val="0"/>
          <w:numId w:val="24"/>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180"/>
        <w:spacing w:after="0"/>
        <w:rPr>
          <w:sz w:val="20"/>
          <w:szCs w:val="20"/>
          <w:color w:val="auto"/>
        </w:rPr>
      </w:pPr>
      <w:r>
        <w:rPr>
          <w:rFonts w:ascii="Arial" w:cs="Arial" w:eastAsia="Arial" w:hAnsi="Arial"/>
          <w:sz w:val="65"/>
          <w:szCs w:val="65"/>
          <w:color w:val="4BCD3E"/>
        </w:rPr>
        <w:t>Proposal 1:</w:t>
      </w:r>
    </w:p>
    <w:p>
      <w:pPr>
        <w:ind w:left="2180"/>
        <w:spacing w:after="0"/>
        <w:rPr>
          <w:sz w:val="20"/>
          <w:szCs w:val="20"/>
          <w:color w:val="auto"/>
        </w:rPr>
      </w:pPr>
      <w:r>
        <w:rPr>
          <w:rFonts w:ascii="Arial" w:cs="Arial" w:eastAsia="Arial" w:hAnsi="Arial"/>
          <w:sz w:val="65"/>
          <w:szCs w:val="65"/>
          <w:color w:val="4BCD3E"/>
        </w:rPr>
        <w:t>Election of Directors</w:t>
      </w:r>
    </w:p>
    <w:p>
      <w:pPr>
        <w:spacing w:after="0" w:line="16" w:lineRule="exact"/>
        <w:rPr>
          <w:sz w:val="20"/>
          <w:szCs w:val="20"/>
          <w:color w:val="auto"/>
        </w:rPr>
      </w:pPr>
    </w:p>
    <w:p>
      <w:pPr>
        <w:ind w:left="2180" w:right="120"/>
        <w:spacing w:after="0" w:line="282" w:lineRule="auto"/>
        <w:rPr>
          <w:sz w:val="20"/>
          <w:szCs w:val="20"/>
          <w:color w:val="auto"/>
        </w:rPr>
      </w:pPr>
      <w:r>
        <w:rPr>
          <w:rFonts w:ascii="Arial" w:cs="Arial" w:eastAsia="Arial" w:hAnsi="Arial"/>
          <w:sz w:val="16"/>
          <w:szCs w:val="16"/>
          <w:color w:val="FFFFFF"/>
        </w:rPr>
        <w:t>Our business is managed under the direction and oversight of our Board. Our proposed nominees for election to the Board consist of eight non-employee directors and one management director. Each member of our Board is elected annually for a one-year term.</w:t>
      </w:r>
    </w:p>
    <w:p>
      <w:pPr>
        <w:spacing w:after="0" w:line="37" w:lineRule="exact"/>
        <w:rPr>
          <w:sz w:val="20"/>
          <w:szCs w:val="20"/>
          <w:color w:val="auto"/>
        </w:rPr>
      </w:pPr>
    </w:p>
    <w:p>
      <w:pPr>
        <w:ind w:left="2180" w:right="100"/>
        <w:spacing w:after="0" w:line="279" w:lineRule="auto"/>
        <w:rPr>
          <w:sz w:val="20"/>
          <w:szCs w:val="20"/>
          <w:color w:val="auto"/>
        </w:rPr>
      </w:pPr>
      <w:r>
        <w:rPr>
          <w:rFonts w:ascii="Arial" w:cs="Arial" w:eastAsia="Arial" w:hAnsi="Arial"/>
          <w:sz w:val="16"/>
          <w:szCs w:val="16"/>
          <w:color w:val="FFFFFF"/>
        </w:rPr>
        <w:t>If elected by our shareholders, each nominee will hold office for a one-year term expiring at the 2027 annual meeting of shareholders and until his or her successor is duly elected and qualified, or until the director’s earlier resignation or removal. Our Board has no reason to believe that any nominee for director will be unable to serve. However, if any nominee should, for any reason, become unable to serve or for good cause will not serve prior to the 2026 Annual Meeting of Shareholders, proxies will be voted for another nominee selected by the Board. Proxies cannot be voted for more than nine persons. Alternatively, at our Board’s discretion, proxies may be voted for fewer nominees if a nominee becomes unable to serve or for good cause will not serve.</w:t>
      </w:r>
    </w:p>
    <w:p>
      <w:pPr>
        <w:spacing w:after="0" w:line="44" w:lineRule="exact"/>
        <w:rPr>
          <w:sz w:val="20"/>
          <w:szCs w:val="20"/>
          <w:color w:val="auto"/>
        </w:rPr>
      </w:pPr>
    </w:p>
    <w:p>
      <w:pPr>
        <w:ind w:left="2180" w:right="760"/>
        <w:spacing w:after="0" w:line="321" w:lineRule="auto"/>
        <w:rPr>
          <w:sz w:val="20"/>
          <w:szCs w:val="20"/>
          <w:color w:val="auto"/>
        </w:rPr>
      </w:pPr>
      <w:r>
        <w:rPr>
          <w:rFonts w:ascii="Arial" w:cs="Arial" w:eastAsia="Arial" w:hAnsi="Arial"/>
          <w:sz w:val="16"/>
          <w:szCs w:val="16"/>
          <w:color w:val="FFFFFF"/>
        </w:rPr>
        <w:t>The table on the following page summarizes the knowledge, experience and biographical information concerning the nine nominees for election as directors of the Company.</w:t>
      </w:r>
    </w:p>
    <w:p>
      <w:pPr>
        <w:spacing w:after="0" w:line="9" w:lineRule="exact"/>
        <w:rPr>
          <w:sz w:val="20"/>
          <w:szCs w:val="20"/>
          <w:color w:val="auto"/>
        </w:rPr>
      </w:pPr>
    </w:p>
    <w:p>
      <w:pPr>
        <w:ind w:left="2180"/>
        <w:spacing w:after="0" w:line="319" w:lineRule="auto"/>
        <w:rPr>
          <w:sz w:val="20"/>
          <w:szCs w:val="20"/>
          <w:color w:val="auto"/>
        </w:rPr>
      </w:pPr>
      <w:r>
        <w:rPr>
          <w:rFonts w:ascii="Arial" w:cs="Arial" w:eastAsia="Arial" w:hAnsi="Arial"/>
          <w:sz w:val="16"/>
          <w:szCs w:val="16"/>
          <w:i w:val="1"/>
          <w:iCs w:val="1"/>
          <w:color w:val="FFFFFF"/>
        </w:rPr>
        <w:t>The number of public company boards listed for each nominee does not include their service on the FIS Board.</w:t>
      </w:r>
    </w:p>
    <w:p>
      <w:pPr>
        <w:spacing w:after="0" w:line="373" w:lineRule="exact"/>
        <w:rPr>
          <w:sz w:val="20"/>
          <w:szCs w:val="20"/>
          <w:color w:val="auto"/>
        </w:rPr>
      </w:pPr>
    </w:p>
    <w:p>
      <w:pPr>
        <w:ind w:left="2980" w:right="700"/>
        <w:spacing w:after="0" w:line="321" w:lineRule="auto"/>
        <w:rPr>
          <w:sz w:val="20"/>
          <w:szCs w:val="20"/>
          <w:color w:val="auto"/>
        </w:rPr>
      </w:pPr>
      <w:r>
        <w:rPr>
          <w:rFonts w:ascii="Arial" w:cs="Arial" w:eastAsia="Arial" w:hAnsi="Arial"/>
          <w:sz w:val="16"/>
          <w:szCs w:val="16"/>
          <w:color w:val="auto"/>
        </w:rPr>
        <w:t xml:space="preserve">The Board recommends that the shareholders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director nominee.</w:t>
      </w:r>
    </w:p>
    <w:p>
      <w:pPr>
        <w:sectPr>
          <w:pgSz w:w="11900" w:h="16838" w:orient="portrait"/>
          <w:cols w:equalWidth="0" w:num="1">
            <w:col w:w="9320"/>
          </w:cols>
          <w:pgMar w:left="144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17</w:t>
      </w:r>
    </w:p>
    <w:p>
      <w:pPr>
        <w:sectPr>
          <w:pgSz w:w="11900" w:h="16838" w:orient="portrait"/>
          <w:cols w:equalWidth="0" w:num="1">
            <w:col w:w="9320"/>
          </w:cols>
          <w:pgMar w:left="1440" w:top="1440" w:right="1139" w:bottom="1440" w:gutter="0" w:footer="0" w:header="0"/>
          <w:type w:val="continuous"/>
        </w:sectPr>
      </w:pPr>
    </w:p>
    <w:bookmarkStart w:id="20" w:name="page21"/>
    <w:bookmarkEnd w:id="20"/>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15" w:lineRule="exact"/>
        <w:rPr>
          <w:sz w:val="20"/>
          <w:szCs w:val="20"/>
          <w:color w:val="auto"/>
        </w:rPr>
      </w:pPr>
    </w:p>
    <w:p>
      <w:pPr>
        <w:ind w:left="140" w:right="159"/>
        <w:spacing w:after="0" w:line="289" w:lineRule="auto"/>
        <w:rPr>
          <w:sz w:val="20"/>
          <w:szCs w:val="20"/>
          <w:color w:val="auto"/>
        </w:rPr>
      </w:pPr>
      <w:r>
        <w:rPr>
          <w:rFonts w:ascii="Arial" w:cs="Arial" w:eastAsia="Arial" w:hAnsi="Arial"/>
          <w:sz w:val="16"/>
          <w:szCs w:val="16"/>
          <w:color w:val="auto"/>
        </w:rPr>
        <w:t>The collective skills and experience of our director nominees support each of the pillars of our long-term growth strategy. The following chart summarizes those skills under several criteria critical to the success of FIS. Virtually all of our directors have expertise in these categories; however, we have only indicated those directors in this chart whose experience in each category is deemed to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431C5B"/>
        </w:rPr>
        <w:t>Knowledge, Skills, Experience</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431C5B"/>
        </w:rPr>
        <w:t>Core Competencies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Executive Leadership</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Global Business Experience</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Financial Expertise</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Public Company Board Experience</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Human Capital Management</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Enterprise Risk Management/Information Security</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Mergers and Acquisitions/Capital Allocation</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Government and Regulatory</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Sustainability</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431C5B"/>
        </w:rPr>
        <w:t>Strategic Skills and Experiences for Our Evolving Strategy</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Technology</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Business Transformation</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Financial Technology</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Banking or Financial Services</w:t>
      </w:r>
    </w:p>
    <w:p>
      <w:pPr>
        <w:spacing w:after="0" w:line="2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431C5B"/>
        </w:rPr>
        <w:t>Digital Transformation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431C5B"/>
        </w:rPr>
        <w:t>Board Tenure</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180" w:type="dxa"/>
            <w:vAlign w:val="bottom"/>
            <w:tcBorders>
              <w:top w:val="single" w:sz="8" w:color="431C5B"/>
              <w:bottom w:val="single" w:sz="8" w:color="431C5B"/>
              <w:right w:val="single" w:sz="8" w:color="CCCCCC"/>
            </w:tcBorders>
          </w:tcPr>
          <w:p>
            <w:pPr>
              <w:ind w:left="80"/>
              <w:spacing w:after="0"/>
              <w:rPr>
                <w:sz w:val="20"/>
                <w:szCs w:val="20"/>
                <w:color w:val="auto"/>
              </w:rPr>
            </w:pPr>
            <w:r>
              <w:rPr>
                <w:rFonts w:ascii="Arial" w:cs="Arial" w:eastAsia="Arial" w:hAnsi="Arial"/>
                <w:sz w:val="14"/>
                <w:szCs w:val="14"/>
                <w:color w:val="auto"/>
              </w:rPr>
              <w:t>Years</w:t>
            </w:r>
          </w:p>
        </w:tc>
        <w:tc>
          <w:tcPr>
            <w:tcW w:w="380" w:type="dxa"/>
            <w:vAlign w:val="bottom"/>
            <w:tcBorders>
              <w:top w:val="single" w:sz="8" w:color="431C5B"/>
              <w:bottom w:val="single" w:sz="8" w:color="431C5B"/>
              <w:right w:val="single" w:sz="8" w:color="CCCCCC"/>
            </w:tcBorders>
          </w:tcPr>
          <w:p>
            <w:pPr>
              <w:jc w:val="right"/>
              <w:ind w:right="108"/>
              <w:spacing w:after="0"/>
              <w:rPr>
                <w:sz w:val="20"/>
                <w:szCs w:val="20"/>
                <w:color w:val="auto"/>
              </w:rPr>
            </w:pPr>
            <w:r>
              <w:rPr>
                <w:rFonts w:ascii="Arial" w:cs="Arial" w:eastAsia="Arial" w:hAnsi="Arial"/>
                <w:sz w:val="14"/>
                <w:szCs w:val="14"/>
                <w:color w:val="auto"/>
              </w:rPr>
              <w:t>1</w:t>
            </w:r>
          </w:p>
        </w:tc>
        <w:tc>
          <w:tcPr>
            <w:tcW w:w="400" w:type="dxa"/>
            <w:vAlign w:val="bottom"/>
            <w:tcBorders>
              <w:top w:val="single" w:sz="8" w:color="431C5B"/>
              <w:bottom w:val="single" w:sz="8" w:color="431C5B"/>
              <w:right w:val="single" w:sz="8" w:color="CCCCCC"/>
            </w:tcBorders>
          </w:tcPr>
          <w:p>
            <w:pPr>
              <w:jc w:val="right"/>
              <w:ind w:right="108"/>
              <w:spacing w:after="0"/>
              <w:rPr>
                <w:sz w:val="20"/>
                <w:szCs w:val="20"/>
                <w:color w:val="auto"/>
              </w:rPr>
            </w:pPr>
            <w:r>
              <w:rPr>
                <w:rFonts w:ascii="Arial" w:cs="Arial" w:eastAsia="Arial" w:hAnsi="Arial"/>
                <w:sz w:val="14"/>
                <w:szCs w:val="14"/>
                <w:color w:val="auto"/>
              </w:rPr>
              <w:t>0</w:t>
            </w:r>
          </w:p>
        </w:tc>
        <w:tc>
          <w:tcPr>
            <w:tcW w:w="420" w:type="dxa"/>
            <w:vAlign w:val="bottom"/>
            <w:tcBorders>
              <w:top w:val="single" w:sz="8" w:color="431C5B"/>
              <w:bottom w:val="single" w:sz="8" w:color="431C5B"/>
              <w:right w:val="single" w:sz="8" w:color="CCCCCC"/>
            </w:tcBorders>
          </w:tcPr>
          <w:p>
            <w:pPr>
              <w:jc w:val="right"/>
              <w:ind w:right="108"/>
              <w:spacing w:after="0"/>
              <w:rPr>
                <w:sz w:val="20"/>
                <w:szCs w:val="20"/>
                <w:color w:val="auto"/>
              </w:rPr>
            </w:pPr>
            <w:r>
              <w:rPr>
                <w:rFonts w:ascii="Arial" w:cs="Arial" w:eastAsia="Arial" w:hAnsi="Arial"/>
                <w:sz w:val="14"/>
                <w:szCs w:val="14"/>
                <w:color w:val="auto"/>
              </w:rPr>
              <w:t>3</w:t>
            </w:r>
          </w:p>
        </w:tc>
        <w:tc>
          <w:tcPr>
            <w:tcW w:w="380" w:type="dxa"/>
            <w:vAlign w:val="bottom"/>
            <w:tcBorders>
              <w:top w:val="single" w:sz="8" w:color="431C5B"/>
              <w:bottom w:val="single" w:sz="8" w:color="431C5B"/>
              <w:right w:val="single" w:sz="8" w:color="CCCCCC"/>
            </w:tcBorders>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Borders>
              <w:top w:val="single" w:sz="8" w:color="431C5B"/>
              <w:bottom w:val="single" w:sz="8" w:color="431C5B"/>
              <w:right w:val="single" w:sz="8" w:color="CCCCCC"/>
            </w:tcBorders>
          </w:tcPr>
          <w:p>
            <w:pPr>
              <w:jc w:val="right"/>
              <w:ind w:right="88"/>
              <w:spacing w:after="0"/>
              <w:rPr>
                <w:sz w:val="20"/>
                <w:szCs w:val="20"/>
                <w:color w:val="auto"/>
              </w:rPr>
            </w:pPr>
            <w:r>
              <w:rPr>
                <w:rFonts w:ascii="Arial" w:cs="Arial" w:eastAsia="Arial" w:hAnsi="Arial"/>
                <w:sz w:val="14"/>
                <w:szCs w:val="14"/>
                <w:color w:val="auto"/>
              </w:rPr>
              <w:t>6</w:t>
            </w:r>
          </w:p>
        </w:tc>
        <w:tc>
          <w:tcPr>
            <w:tcW w:w="420" w:type="dxa"/>
            <w:vAlign w:val="bottom"/>
            <w:tcBorders>
              <w:top w:val="single" w:sz="8" w:color="431C5B"/>
              <w:bottom w:val="single" w:sz="8" w:color="431C5B"/>
              <w:right w:val="single" w:sz="8" w:color="CCCCCC"/>
            </w:tcBorders>
          </w:tcPr>
          <w:p>
            <w:pPr>
              <w:jc w:val="right"/>
              <w:ind w:right="108"/>
              <w:spacing w:after="0"/>
              <w:rPr>
                <w:sz w:val="20"/>
                <w:szCs w:val="20"/>
                <w:color w:val="auto"/>
              </w:rPr>
            </w:pPr>
            <w:r>
              <w:rPr>
                <w:rFonts w:ascii="Arial" w:cs="Arial" w:eastAsia="Arial" w:hAnsi="Arial"/>
                <w:sz w:val="14"/>
                <w:szCs w:val="14"/>
                <w:color w:val="auto"/>
              </w:rPr>
              <w:t>7</w:t>
            </w:r>
          </w:p>
        </w:tc>
        <w:tc>
          <w:tcPr>
            <w:tcW w:w="420" w:type="dxa"/>
            <w:vAlign w:val="bottom"/>
            <w:tcBorders>
              <w:top w:val="single" w:sz="8" w:color="431C5B"/>
              <w:bottom w:val="single" w:sz="8" w:color="431C5B"/>
              <w:right w:val="single" w:sz="8" w:color="CCCCCC"/>
            </w:tcBorders>
          </w:tcPr>
          <w:p>
            <w:pPr>
              <w:jc w:val="right"/>
              <w:ind w:right="108"/>
              <w:spacing w:after="0"/>
              <w:rPr>
                <w:sz w:val="20"/>
                <w:szCs w:val="20"/>
                <w:color w:val="auto"/>
              </w:rPr>
            </w:pPr>
            <w:r>
              <w:rPr>
                <w:rFonts w:ascii="Arial" w:cs="Arial" w:eastAsia="Arial" w:hAnsi="Arial"/>
                <w:sz w:val="14"/>
                <w:szCs w:val="14"/>
                <w:color w:val="auto"/>
              </w:rPr>
              <w:t>4</w:t>
            </w:r>
          </w:p>
        </w:tc>
        <w:tc>
          <w:tcPr>
            <w:tcW w:w="420" w:type="dxa"/>
            <w:vAlign w:val="bottom"/>
            <w:tcBorders>
              <w:top w:val="single" w:sz="8" w:color="431C5B"/>
              <w:bottom w:val="single" w:sz="8" w:color="431C5B"/>
              <w:right w:val="single" w:sz="8" w:color="CCCCCC"/>
            </w:tcBorders>
          </w:tcPr>
          <w:p>
            <w:pPr>
              <w:jc w:val="right"/>
              <w:ind w:right="108"/>
              <w:spacing w:after="0"/>
              <w:rPr>
                <w:sz w:val="20"/>
                <w:szCs w:val="20"/>
                <w:color w:val="auto"/>
              </w:rPr>
            </w:pPr>
            <w:r>
              <w:rPr>
                <w:rFonts w:ascii="Arial" w:cs="Arial" w:eastAsia="Arial" w:hAnsi="Arial"/>
                <w:sz w:val="14"/>
                <w:szCs w:val="14"/>
                <w:color w:val="auto"/>
              </w:rPr>
              <w:t>7</w:t>
            </w:r>
          </w:p>
        </w:tc>
        <w:tc>
          <w:tcPr>
            <w:tcW w:w="360" w:type="dxa"/>
            <w:vAlign w:val="bottom"/>
            <w:tcBorders>
              <w:top w:val="single" w:sz="8" w:color="431C5B"/>
              <w:bottom w:val="single" w:sz="8" w:color="431C5B"/>
            </w:tcBorders>
          </w:tcPr>
          <w:p>
            <w:pPr>
              <w:jc w:val="right"/>
              <w:ind w:right="48"/>
              <w:spacing w:after="0"/>
              <w:rPr>
                <w:sz w:val="20"/>
                <w:szCs w:val="20"/>
                <w:color w:val="auto"/>
              </w:rPr>
            </w:pPr>
            <w:r>
              <w:rPr>
                <w:rFonts w:ascii="Arial" w:cs="Arial" w:eastAsia="Arial" w:hAnsi="Arial"/>
                <w:sz w:val="14"/>
                <w:szCs w:val="14"/>
                <w:color w:val="auto"/>
              </w:rPr>
              <w:t>13</w:t>
            </w:r>
          </w:p>
        </w:tc>
      </w:tr>
      <w:tr>
        <w:trPr>
          <w:trHeight w:val="209"/>
        </w:trPr>
        <w:tc>
          <w:tcPr>
            <w:tcW w:w="518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Age</w:t>
            </w:r>
          </w:p>
        </w:tc>
        <w:tc>
          <w:tcPr>
            <w:tcW w:w="380" w:type="dxa"/>
            <w:vAlign w:val="bottom"/>
            <w:tcBorders>
              <w:bottom w:val="single" w:sz="8" w:color="431C5B"/>
            </w:tcBorders>
          </w:tcPr>
          <w:p>
            <w:pPr>
              <w:spacing w:after="0"/>
              <w:rPr>
                <w:sz w:val="18"/>
                <w:szCs w:val="18"/>
                <w:color w:val="auto"/>
              </w:rPr>
            </w:pPr>
          </w:p>
        </w:tc>
        <w:tc>
          <w:tcPr>
            <w:tcW w:w="400" w:type="dxa"/>
            <w:vAlign w:val="bottom"/>
            <w:tcBorders>
              <w:bottom w:val="single" w:sz="8" w:color="431C5B"/>
            </w:tcBorders>
          </w:tcPr>
          <w:p>
            <w:pPr>
              <w:spacing w:after="0"/>
              <w:rPr>
                <w:sz w:val="18"/>
                <w:szCs w:val="18"/>
                <w:color w:val="auto"/>
              </w:rPr>
            </w:pPr>
          </w:p>
        </w:tc>
        <w:tc>
          <w:tcPr>
            <w:tcW w:w="420" w:type="dxa"/>
            <w:vAlign w:val="bottom"/>
            <w:tcBorders>
              <w:bottom w:val="single" w:sz="8" w:color="431C5B"/>
            </w:tcBorders>
          </w:tcPr>
          <w:p>
            <w:pPr>
              <w:spacing w:after="0"/>
              <w:rPr>
                <w:sz w:val="18"/>
                <w:szCs w:val="18"/>
                <w:color w:val="auto"/>
              </w:rPr>
            </w:pPr>
          </w:p>
        </w:tc>
        <w:tc>
          <w:tcPr>
            <w:tcW w:w="380" w:type="dxa"/>
            <w:vAlign w:val="bottom"/>
            <w:tcBorders>
              <w:bottom w:val="single" w:sz="8" w:color="431C5B"/>
            </w:tcBorders>
          </w:tcPr>
          <w:p>
            <w:pPr>
              <w:spacing w:after="0"/>
              <w:rPr>
                <w:sz w:val="18"/>
                <w:szCs w:val="18"/>
                <w:color w:val="auto"/>
              </w:rPr>
            </w:pPr>
          </w:p>
        </w:tc>
        <w:tc>
          <w:tcPr>
            <w:tcW w:w="380" w:type="dxa"/>
            <w:vAlign w:val="bottom"/>
            <w:tcBorders>
              <w:bottom w:val="single" w:sz="8" w:color="431C5B"/>
            </w:tcBorders>
          </w:tcPr>
          <w:p>
            <w:pPr>
              <w:spacing w:after="0"/>
              <w:rPr>
                <w:sz w:val="18"/>
                <w:szCs w:val="18"/>
                <w:color w:val="auto"/>
              </w:rPr>
            </w:pPr>
          </w:p>
        </w:tc>
        <w:tc>
          <w:tcPr>
            <w:tcW w:w="420" w:type="dxa"/>
            <w:vAlign w:val="bottom"/>
            <w:tcBorders>
              <w:bottom w:val="single" w:sz="8" w:color="431C5B"/>
            </w:tcBorders>
          </w:tcPr>
          <w:p>
            <w:pPr>
              <w:spacing w:after="0"/>
              <w:rPr>
                <w:sz w:val="18"/>
                <w:szCs w:val="18"/>
                <w:color w:val="auto"/>
              </w:rPr>
            </w:pPr>
          </w:p>
        </w:tc>
        <w:tc>
          <w:tcPr>
            <w:tcW w:w="420" w:type="dxa"/>
            <w:vAlign w:val="bottom"/>
            <w:tcBorders>
              <w:bottom w:val="single" w:sz="8" w:color="431C5B"/>
            </w:tcBorders>
          </w:tcPr>
          <w:p>
            <w:pPr>
              <w:spacing w:after="0"/>
              <w:rPr>
                <w:sz w:val="18"/>
                <w:szCs w:val="18"/>
                <w:color w:val="auto"/>
              </w:rPr>
            </w:pPr>
          </w:p>
        </w:tc>
        <w:tc>
          <w:tcPr>
            <w:tcW w:w="420" w:type="dxa"/>
            <w:vAlign w:val="bottom"/>
            <w:tcBorders>
              <w:bottom w:val="single" w:sz="8" w:color="431C5B"/>
            </w:tcBorders>
          </w:tcPr>
          <w:p>
            <w:pPr>
              <w:spacing w:after="0"/>
              <w:rPr>
                <w:sz w:val="18"/>
                <w:szCs w:val="18"/>
                <w:color w:val="auto"/>
              </w:rPr>
            </w:pPr>
          </w:p>
        </w:tc>
        <w:tc>
          <w:tcPr>
            <w:tcW w:w="360" w:type="dxa"/>
            <w:vAlign w:val="bottom"/>
            <w:tcBorders>
              <w:bottom w:val="single" w:sz="8" w:color="431C5B"/>
            </w:tcBorders>
          </w:tcPr>
          <w:p>
            <w:pPr>
              <w:spacing w:after="0"/>
              <w:rPr>
                <w:sz w:val="18"/>
                <w:szCs w:val="18"/>
                <w:color w:val="auto"/>
              </w:rPr>
            </w:pPr>
          </w:p>
        </w:tc>
      </w:tr>
      <w:tr>
        <w:trPr>
          <w:trHeight w:val="210"/>
        </w:trPr>
        <w:tc>
          <w:tcPr>
            <w:tcW w:w="5180" w:type="dxa"/>
            <w:vAlign w:val="bottom"/>
            <w:tcBorders>
              <w:bottom w:val="single" w:sz="8" w:color="431C5B"/>
              <w:right w:val="single" w:sz="8" w:color="CCCCCC"/>
            </w:tcBorders>
          </w:tcPr>
          <w:p>
            <w:pPr>
              <w:ind w:left="80"/>
              <w:spacing w:after="0"/>
              <w:rPr>
                <w:sz w:val="20"/>
                <w:szCs w:val="20"/>
                <w:color w:val="auto"/>
              </w:rPr>
            </w:pPr>
            <w:r>
              <w:rPr>
                <w:rFonts w:ascii="Arial" w:cs="Arial" w:eastAsia="Arial" w:hAnsi="Arial"/>
                <w:sz w:val="14"/>
                <w:szCs w:val="14"/>
                <w:color w:val="auto"/>
              </w:rPr>
              <w:t>Age (years old)</w:t>
            </w:r>
          </w:p>
        </w:tc>
        <w:tc>
          <w:tcPr>
            <w:tcW w:w="380" w:type="dxa"/>
            <w:vAlign w:val="bottom"/>
            <w:tcBorders>
              <w:bottom w:val="single" w:sz="8" w:color="431C5B"/>
              <w:right w:val="single" w:sz="8" w:color="CCCCCC"/>
            </w:tcBorders>
          </w:tcPr>
          <w:p>
            <w:pPr>
              <w:jc w:val="right"/>
              <w:ind w:right="68"/>
              <w:spacing w:after="0"/>
              <w:rPr>
                <w:sz w:val="20"/>
                <w:szCs w:val="20"/>
                <w:color w:val="auto"/>
              </w:rPr>
            </w:pPr>
            <w:r>
              <w:rPr>
                <w:rFonts w:ascii="Arial" w:cs="Arial" w:eastAsia="Arial" w:hAnsi="Arial"/>
                <w:sz w:val="14"/>
                <w:szCs w:val="14"/>
                <w:color w:val="auto"/>
              </w:rPr>
              <w:t>52</w:t>
            </w:r>
          </w:p>
        </w:tc>
        <w:tc>
          <w:tcPr>
            <w:tcW w:w="400" w:type="dxa"/>
            <w:vAlign w:val="bottom"/>
            <w:tcBorders>
              <w:bottom w:val="single" w:sz="8" w:color="431C5B"/>
              <w:right w:val="single" w:sz="8" w:color="CCCCCC"/>
            </w:tcBorders>
          </w:tcPr>
          <w:p>
            <w:pPr>
              <w:jc w:val="right"/>
              <w:ind w:right="68"/>
              <w:spacing w:after="0"/>
              <w:rPr>
                <w:sz w:val="20"/>
                <w:szCs w:val="20"/>
                <w:color w:val="auto"/>
              </w:rPr>
            </w:pPr>
            <w:r>
              <w:rPr>
                <w:rFonts w:ascii="Arial" w:cs="Arial" w:eastAsia="Arial" w:hAnsi="Arial"/>
                <w:sz w:val="14"/>
                <w:szCs w:val="14"/>
                <w:color w:val="auto"/>
              </w:rPr>
              <w:t>58</w:t>
            </w:r>
          </w:p>
        </w:tc>
        <w:tc>
          <w:tcPr>
            <w:tcW w:w="420" w:type="dxa"/>
            <w:vAlign w:val="bottom"/>
            <w:tcBorders>
              <w:bottom w:val="single" w:sz="8" w:color="431C5B"/>
              <w:right w:val="single" w:sz="8" w:color="CCCCCC"/>
            </w:tcBorders>
          </w:tcPr>
          <w:p>
            <w:pPr>
              <w:jc w:val="right"/>
              <w:ind w:right="68"/>
              <w:spacing w:after="0"/>
              <w:rPr>
                <w:sz w:val="20"/>
                <w:szCs w:val="20"/>
                <w:color w:val="auto"/>
              </w:rPr>
            </w:pPr>
            <w:r>
              <w:rPr>
                <w:rFonts w:ascii="Arial" w:cs="Arial" w:eastAsia="Arial" w:hAnsi="Arial"/>
                <w:sz w:val="14"/>
                <w:szCs w:val="14"/>
                <w:color w:val="auto"/>
              </w:rPr>
              <w:t>52</w:t>
            </w:r>
          </w:p>
        </w:tc>
        <w:tc>
          <w:tcPr>
            <w:tcW w:w="380" w:type="dxa"/>
            <w:vAlign w:val="bottom"/>
            <w:tcBorders>
              <w:bottom w:val="single" w:sz="8" w:color="431C5B"/>
              <w:right w:val="single" w:sz="8" w:color="CCCCCC"/>
            </w:tcBorders>
          </w:tcPr>
          <w:p>
            <w:pPr>
              <w:jc w:val="right"/>
              <w:ind w:right="48"/>
              <w:spacing w:after="0"/>
              <w:rPr>
                <w:sz w:val="20"/>
                <w:szCs w:val="20"/>
                <w:color w:val="auto"/>
              </w:rPr>
            </w:pPr>
            <w:r>
              <w:rPr>
                <w:rFonts w:ascii="Arial" w:cs="Arial" w:eastAsia="Arial" w:hAnsi="Arial"/>
                <w:sz w:val="14"/>
                <w:szCs w:val="14"/>
                <w:color w:val="auto"/>
              </w:rPr>
              <w:t>44</w:t>
            </w:r>
          </w:p>
        </w:tc>
        <w:tc>
          <w:tcPr>
            <w:tcW w:w="380" w:type="dxa"/>
            <w:vAlign w:val="bottom"/>
            <w:tcBorders>
              <w:bottom w:val="single" w:sz="8" w:color="431C5B"/>
              <w:right w:val="single" w:sz="8" w:color="CCCCCC"/>
            </w:tcBorders>
          </w:tcPr>
          <w:p>
            <w:pPr>
              <w:jc w:val="right"/>
              <w:ind w:right="48"/>
              <w:spacing w:after="0"/>
              <w:rPr>
                <w:sz w:val="20"/>
                <w:szCs w:val="20"/>
                <w:color w:val="auto"/>
              </w:rPr>
            </w:pPr>
            <w:r>
              <w:rPr>
                <w:rFonts w:ascii="Arial" w:cs="Arial" w:eastAsia="Arial" w:hAnsi="Arial"/>
                <w:sz w:val="14"/>
                <w:szCs w:val="14"/>
                <w:color w:val="auto"/>
              </w:rPr>
              <w:t>70</w:t>
            </w:r>
          </w:p>
        </w:tc>
        <w:tc>
          <w:tcPr>
            <w:tcW w:w="420" w:type="dxa"/>
            <w:vAlign w:val="bottom"/>
            <w:tcBorders>
              <w:bottom w:val="single" w:sz="8" w:color="431C5B"/>
              <w:right w:val="single" w:sz="8" w:color="CCCCCC"/>
            </w:tcBorders>
          </w:tcPr>
          <w:p>
            <w:pPr>
              <w:jc w:val="right"/>
              <w:ind w:right="68"/>
              <w:spacing w:after="0"/>
              <w:rPr>
                <w:sz w:val="20"/>
                <w:szCs w:val="20"/>
                <w:color w:val="auto"/>
              </w:rPr>
            </w:pPr>
            <w:r>
              <w:rPr>
                <w:rFonts w:ascii="Arial" w:cs="Arial" w:eastAsia="Arial" w:hAnsi="Arial"/>
                <w:sz w:val="14"/>
                <w:szCs w:val="14"/>
                <w:color w:val="auto"/>
              </w:rPr>
              <w:t>68</w:t>
            </w:r>
          </w:p>
        </w:tc>
        <w:tc>
          <w:tcPr>
            <w:tcW w:w="420" w:type="dxa"/>
            <w:vAlign w:val="bottom"/>
            <w:tcBorders>
              <w:bottom w:val="single" w:sz="8" w:color="431C5B"/>
              <w:right w:val="single" w:sz="8" w:color="CCCCCC"/>
            </w:tcBorders>
          </w:tcPr>
          <w:p>
            <w:pPr>
              <w:jc w:val="right"/>
              <w:ind w:right="68"/>
              <w:spacing w:after="0"/>
              <w:rPr>
                <w:sz w:val="20"/>
                <w:szCs w:val="20"/>
                <w:color w:val="auto"/>
              </w:rPr>
            </w:pPr>
            <w:r>
              <w:rPr>
                <w:rFonts w:ascii="Arial" w:cs="Arial" w:eastAsia="Arial" w:hAnsi="Arial"/>
                <w:sz w:val="14"/>
                <w:szCs w:val="14"/>
                <w:color w:val="auto"/>
              </w:rPr>
              <w:t>71</w:t>
            </w:r>
          </w:p>
        </w:tc>
        <w:tc>
          <w:tcPr>
            <w:tcW w:w="420" w:type="dxa"/>
            <w:vAlign w:val="bottom"/>
            <w:tcBorders>
              <w:bottom w:val="single" w:sz="8" w:color="431C5B"/>
              <w:right w:val="single" w:sz="8" w:color="CCCCCC"/>
            </w:tcBorders>
          </w:tcPr>
          <w:p>
            <w:pPr>
              <w:jc w:val="right"/>
              <w:ind w:right="68"/>
              <w:spacing w:after="0"/>
              <w:rPr>
                <w:sz w:val="20"/>
                <w:szCs w:val="20"/>
                <w:color w:val="auto"/>
              </w:rPr>
            </w:pPr>
            <w:r>
              <w:rPr>
                <w:rFonts w:ascii="Arial" w:cs="Arial" w:eastAsia="Arial" w:hAnsi="Arial"/>
                <w:sz w:val="14"/>
                <w:szCs w:val="14"/>
                <w:color w:val="auto"/>
              </w:rPr>
              <w:t>73</w:t>
            </w:r>
          </w:p>
        </w:tc>
        <w:tc>
          <w:tcPr>
            <w:tcW w:w="360" w:type="dxa"/>
            <w:vAlign w:val="bottom"/>
            <w:tcBorders>
              <w:bottom w:val="single" w:sz="8" w:color="431C5B"/>
            </w:tcBorders>
          </w:tcPr>
          <w:p>
            <w:pPr>
              <w:jc w:val="right"/>
              <w:ind w:right="48"/>
              <w:spacing w:after="0"/>
              <w:rPr>
                <w:sz w:val="20"/>
                <w:szCs w:val="20"/>
                <w:color w:val="auto"/>
              </w:rPr>
            </w:pPr>
            <w:r>
              <w:rPr>
                <w:rFonts w:ascii="Arial" w:cs="Arial" w:eastAsia="Arial" w:hAnsi="Arial"/>
                <w:sz w:val="14"/>
                <w:szCs w:val="14"/>
                <w:color w:val="auto"/>
              </w:rPr>
              <w:t>70</w:t>
            </w:r>
          </w:p>
        </w:tc>
      </w:tr>
      <w:tr>
        <w:trPr>
          <w:trHeight w:val="228"/>
        </w:trPr>
        <w:tc>
          <w:tcPr>
            <w:tcW w:w="5180" w:type="dxa"/>
            <w:vAlign w:val="bottom"/>
          </w:tcPr>
          <w:p>
            <w:pPr>
              <w:ind w:left="320"/>
              <w:spacing w:after="0"/>
              <w:rPr>
                <w:sz w:val="20"/>
                <w:szCs w:val="20"/>
                <w:color w:val="auto"/>
              </w:rPr>
            </w:pPr>
            <w:r>
              <w:rPr>
                <w:rFonts w:ascii="Arial" w:cs="Arial" w:eastAsia="Arial" w:hAnsi="Arial"/>
                <w:sz w:val="14"/>
                <w:szCs w:val="14"/>
                <w:color w:val="auto"/>
              </w:rPr>
              <w:t>Denotes relevant CEO experience</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91" w:lineRule="exact"/>
        <w:rPr>
          <w:sz w:val="20"/>
          <w:szCs w:val="20"/>
          <w:color w:val="auto"/>
        </w:rPr>
      </w:pPr>
    </w:p>
    <w:p>
      <w:pPr>
        <w:ind w:left="140" w:right="459"/>
        <w:spacing w:after="0" w:line="292" w:lineRule="auto"/>
        <w:rPr>
          <w:sz w:val="20"/>
          <w:szCs w:val="20"/>
          <w:color w:val="auto"/>
        </w:rPr>
      </w:pPr>
      <w:r>
        <w:rPr>
          <w:rFonts w:ascii="Arial" w:cs="Arial" w:eastAsia="Arial" w:hAnsi="Arial"/>
          <w:sz w:val="16"/>
          <w:szCs w:val="16"/>
          <w:color w:val="auto"/>
        </w:rPr>
        <w:t>Although the Board remains confident in its current composition, including the skill set and experience of the current directors, the Board continually seeks to identify new director candidates that enhance the skills and experience of the Board as a whole and support the Company’s evolving business strategy.</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hanging="429"/>
        <w:spacing w:after="0"/>
        <w:tabs>
          <w:tab w:leader="none" w:pos="620" w:val="left"/>
        </w:tabs>
        <w:numPr>
          <w:ilvl w:val="0"/>
          <w:numId w:val="25"/>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21" w:name="page22"/>
    <w:bookmarkEnd w:id="21"/>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Nominees for Election as Director</w:t>
      </w:r>
    </w:p>
    <w:p>
      <w:pPr>
        <w:spacing w:after="0" w:line="107"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Nine nominees are standing for re-election to the Board. The collective skills, talents, experiences and perspectives of the Board are broad and varied. Our Board includes executives who have worked in the fields of technology, payments and financial services, among others. We have several current or former CEOs, and also have directors who have had executive responsibilities globally in operations, finance, and sales. The director nominee tenure on the FIS Board spans from less than 1 year to 13 years. This range of tenure allows the Board to benefit from directors' experience and familiarity with our business and ongoing strategic transformation while infusing fresh perspectives.</w:t>
      </w:r>
    </w:p>
    <w:p>
      <w:pPr>
        <w:spacing w:after="0" w:line="335" w:lineRule="exact"/>
        <w:rPr>
          <w:sz w:val="20"/>
          <w:szCs w:val="20"/>
          <w:color w:val="auto"/>
        </w:rPr>
      </w:pPr>
    </w:p>
    <w:p>
      <w:pPr>
        <w:ind w:left="2360"/>
        <w:spacing w:after="0"/>
        <w:rPr>
          <w:sz w:val="20"/>
          <w:szCs w:val="20"/>
          <w:color w:val="auto"/>
        </w:rPr>
      </w:pPr>
      <w:r>
        <w:rPr>
          <w:rFonts w:ascii="Arial" w:cs="Arial" w:eastAsia="Arial" w:hAnsi="Arial"/>
          <w:sz w:val="27"/>
          <w:szCs w:val="27"/>
          <w:b w:val="1"/>
          <w:bCs w:val="1"/>
          <w:color w:val="431C5B"/>
        </w:rPr>
        <w:t>Jeffrey A. Goldstein</w:t>
      </w:r>
    </w:p>
    <w:p>
      <w:pPr>
        <w:spacing w:after="0" w:line="48"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431C5B"/>
        </w:rPr>
        <w:t>Independent Chair</w:t>
      </w:r>
    </w:p>
    <w:p>
      <w:pPr>
        <w:spacing w:after="0" w:line="163" w:lineRule="exact"/>
        <w:rPr>
          <w:sz w:val="20"/>
          <w:szCs w:val="20"/>
          <w:color w:val="auto"/>
        </w:rPr>
      </w:pPr>
    </w:p>
    <w:tbl>
      <w:tblPr>
        <w:tblLayout w:type="fixed"/>
        <w:tblInd w:w="2360" w:type="dxa"/>
        <w:tblCellMar>
          <w:top w:w="0" w:type="dxa"/>
          <w:left w:w="0" w:type="dxa"/>
          <w:bottom w:w="0" w:type="dxa"/>
          <w:right w:w="0" w:type="dxa"/>
        </w:tblCellMar>
      </w:tblP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 xml:space="preserve">Age: 70 | Director since: </w:t>
            </w:r>
            <w:r>
              <w:rPr>
                <w:rFonts w:ascii="Arial" w:cs="Arial" w:eastAsia="Arial" w:hAnsi="Arial"/>
                <w:sz w:val="14"/>
                <w:szCs w:val="14"/>
                <w:b w:val="1"/>
                <w:bCs w:val="1"/>
                <w:color w:val="auto"/>
              </w:rPr>
              <w:t>2020</w:t>
            </w:r>
          </w:p>
        </w:tc>
        <w:tc>
          <w:tcPr>
            <w:tcW w:w="3380" w:type="dxa"/>
            <w:vAlign w:val="bottom"/>
          </w:tcPr>
          <w:p>
            <w:pPr>
              <w:ind w:left="760"/>
              <w:spacing w:after="0"/>
              <w:rPr>
                <w:sz w:val="20"/>
                <w:szCs w:val="20"/>
                <w:color w:val="auto"/>
              </w:rPr>
            </w:pPr>
            <w:r>
              <w:rPr>
                <w:rFonts w:ascii="Arial" w:cs="Arial" w:eastAsia="Arial" w:hAnsi="Arial"/>
                <w:sz w:val="14"/>
                <w:szCs w:val="14"/>
                <w:color w:val="auto"/>
              </w:rPr>
              <w:t xml:space="preserve">Committee Member: </w:t>
            </w: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89"/>
        </w:trPr>
        <w:tc>
          <w:tcPr>
            <w:tcW w:w="2620" w:type="dxa"/>
            <w:vAlign w:val="bottom"/>
            <w:vMerge w:val="restart"/>
          </w:tcPr>
          <w:p>
            <w:pPr>
              <w:spacing w:after="0"/>
              <w:rPr>
                <w:sz w:val="20"/>
                <w:szCs w:val="20"/>
                <w:color w:val="auto"/>
              </w:rPr>
            </w:pPr>
            <w:r>
              <w:rPr>
                <w:rFonts w:ascii="Arial" w:cs="Arial" w:eastAsia="Arial" w:hAnsi="Arial"/>
                <w:sz w:val="14"/>
                <w:szCs w:val="14"/>
                <w:color w:val="auto"/>
              </w:rPr>
              <w:t xml:space="preserve">Committee Chair: </w:t>
            </w:r>
            <w:r>
              <w:rPr>
                <w:rFonts w:ascii="Arial" w:cs="Arial" w:eastAsia="Arial" w:hAnsi="Arial"/>
                <w:sz w:val="14"/>
                <w:szCs w:val="14"/>
                <w:b w:val="1"/>
                <w:bCs w:val="1"/>
                <w:color w:val="auto"/>
              </w:rPr>
              <w:t>Executive</w:t>
            </w:r>
          </w:p>
        </w:tc>
        <w:tc>
          <w:tcPr>
            <w:tcW w:w="3380" w:type="dxa"/>
            <w:vAlign w:val="bottom"/>
          </w:tcPr>
          <w:p>
            <w:pPr>
              <w:ind w:left="760"/>
              <w:spacing w:after="0"/>
              <w:rPr>
                <w:sz w:val="20"/>
                <w:szCs w:val="20"/>
                <w:color w:val="auto"/>
              </w:rPr>
            </w:pPr>
            <w:r>
              <w:rPr>
                <w:rFonts w:ascii="Arial" w:cs="Arial" w:eastAsia="Arial" w:hAnsi="Arial"/>
                <w:sz w:val="14"/>
                <w:szCs w:val="14"/>
                <w:b w:val="1"/>
                <w:bCs w:val="1"/>
                <w:color w:val="auto"/>
              </w:rPr>
              <w:t>Corporate Governance, Nominating</w:t>
            </w:r>
          </w:p>
        </w:tc>
        <w:tc>
          <w:tcPr>
            <w:tcW w:w="0" w:type="dxa"/>
            <w:vAlign w:val="bottom"/>
          </w:tcPr>
          <w:p>
            <w:pPr>
              <w:spacing w:after="0"/>
              <w:rPr>
                <w:sz w:val="1"/>
                <w:szCs w:val="1"/>
                <w:color w:val="auto"/>
              </w:rPr>
            </w:pPr>
          </w:p>
        </w:tc>
      </w:tr>
      <w:tr>
        <w:trPr>
          <w:trHeight w:val="115"/>
        </w:trPr>
        <w:tc>
          <w:tcPr>
            <w:tcW w:w="2620" w:type="dxa"/>
            <w:vAlign w:val="bottom"/>
            <w:vMerge w:val="continue"/>
          </w:tcPr>
          <w:p>
            <w:pPr>
              <w:spacing w:after="0"/>
              <w:rPr>
                <w:sz w:val="10"/>
                <w:szCs w:val="10"/>
                <w:color w:val="auto"/>
              </w:rPr>
            </w:pPr>
          </w:p>
        </w:tc>
        <w:tc>
          <w:tcPr>
            <w:tcW w:w="33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and Sustainability</w:t>
            </w:r>
          </w:p>
        </w:tc>
        <w:tc>
          <w:tcPr>
            <w:tcW w:w="0" w:type="dxa"/>
            <w:vAlign w:val="bottom"/>
          </w:tcPr>
          <w:p>
            <w:pPr>
              <w:spacing w:after="0"/>
              <w:rPr>
                <w:sz w:val="1"/>
                <w:szCs w:val="1"/>
                <w:color w:val="auto"/>
              </w:rPr>
            </w:pPr>
          </w:p>
        </w:tc>
      </w:tr>
      <w:tr>
        <w:trPr>
          <w:trHeight w:val="81"/>
        </w:trPr>
        <w:tc>
          <w:tcPr>
            <w:tcW w:w="26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20" w:type="dxa"/>
            <w:vAlign w:val="bottom"/>
          </w:tcPr>
          <w:p>
            <w:pPr>
              <w:spacing w:after="0"/>
              <w:rPr>
                <w:sz w:val="24"/>
                <w:szCs w:val="24"/>
                <w:color w:val="auto"/>
              </w:rPr>
            </w:pPr>
          </w:p>
        </w:tc>
        <w:tc>
          <w:tcPr>
            <w:tcW w:w="3380" w:type="dxa"/>
            <w:vAlign w:val="bottom"/>
          </w:tcPr>
          <w:p>
            <w:pPr>
              <w:ind w:left="760"/>
              <w:spacing w:after="0"/>
              <w:rPr>
                <w:sz w:val="20"/>
                <w:szCs w:val="20"/>
                <w:color w:val="auto"/>
              </w:rPr>
            </w:pPr>
            <w:r>
              <w:rPr>
                <w:rFonts w:ascii="Arial" w:cs="Arial" w:eastAsia="Arial" w:hAnsi="Arial"/>
                <w:sz w:val="14"/>
                <w:szCs w:val="14"/>
                <w:color w:val="auto"/>
              </w:rPr>
              <w:t xml:space="preserve">Other Current Public Company Boards: </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31C5B"/>
        </w:rPr>
        <w:t>Skills and Qualifications</w:t>
      </w:r>
    </w:p>
    <w:p>
      <w:pPr>
        <w:spacing w:after="0" w:line="48" w:lineRule="exact"/>
        <w:rPr>
          <w:sz w:val="20"/>
          <w:szCs w:val="20"/>
          <w:color w:val="auto"/>
        </w:rPr>
      </w:pPr>
    </w:p>
    <w:tbl>
      <w:tblPr>
        <w:tblLayout w:type="fixed"/>
        <w:tblInd w:w="300" w:type="dxa"/>
        <w:tblCellMar>
          <w:top w:w="0" w:type="dxa"/>
          <w:left w:w="0" w:type="dxa"/>
          <w:bottom w:w="0" w:type="dxa"/>
          <w:right w:w="0" w:type="dxa"/>
        </w:tblCellMar>
      </w:tblPr>
      <w:tr>
        <w:trPr>
          <w:trHeight w:val="34"/>
        </w:trPr>
        <w:tc>
          <w:tcPr>
            <w:tcW w:w="640" w:type="dxa"/>
            <w:vAlign w:val="bottom"/>
            <w:shd w:val="clear" w:color="auto" w:fill="ECE8EF"/>
          </w:tcPr>
          <w:p>
            <w:pPr>
              <w:spacing w:after="0"/>
              <w:rPr>
                <w:sz w:val="2"/>
                <w:szCs w:val="2"/>
                <w:color w:val="auto"/>
              </w:rPr>
            </w:pPr>
          </w:p>
        </w:tc>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3"/>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Executive Leadership</w:t>
            </w:r>
          </w:p>
        </w:tc>
        <w:tc>
          <w:tcPr>
            <w:tcW w:w="640" w:type="dxa"/>
            <w:vAlign w:val="bottom"/>
            <w:shd w:val="clear" w:color="auto" w:fill="ECE8EF"/>
          </w:tcPr>
          <w:p>
            <w:pPr>
              <w:spacing w:after="0"/>
              <w:rPr>
                <w:sz w:val="24"/>
                <w:szCs w:val="24"/>
                <w:color w:val="auto"/>
              </w:rPr>
            </w:pPr>
          </w:p>
        </w:tc>
        <w:tc>
          <w:tcPr>
            <w:tcW w:w="2900" w:type="dxa"/>
            <w:vAlign w:val="bottom"/>
            <w:gridSpan w:val="2"/>
            <w:shd w:val="clear" w:color="auto" w:fill="ECE8EF"/>
          </w:tcPr>
          <w:p>
            <w:pPr>
              <w:ind w:left="40"/>
              <w:spacing w:after="0"/>
              <w:rPr>
                <w:sz w:val="20"/>
                <w:szCs w:val="20"/>
                <w:color w:val="auto"/>
              </w:rPr>
            </w:pPr>
            <w:r>
              <w:rPr>
                <w:rFonts w:ascii="Arial" w:cs="Arial" w:eastAsia="Arial" w:hAnsi="Arial"/>
                <w:sz w:val="14"/>
                <w:szCs w:val="14"/>
                <w:color w:val="auto"/>
              </w:rPr>
              <w:t>Global Business Experience</w:t>
            </w: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Financial Expertise</w:t>
            </w:r>
          </w:p>
        </w:tc>
        <w:tc>
          <w:tcPr>
            <w:tcW w:w="0" w:type="dxa"/>
            <w:vAlign w:val="bottom"/>
          </w:tcPr>
          <w:p>
            <w:pPr>
              <w:spacing w:after="0"/>
              <w:rPr>
                <w:sz w:val="1"/>
                <w:szCs w:val="1"/>
                <w:color w:val="auto"/>
              </w:rPr>
            </w:pPr>
          </w:p>
        </w:tc>
      </w:tr>
      <w:tr>
        <w:trPr>
          <w:trHeight w:val="498"/>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Public Company</w:t>
            </w:r>
          </w:p>
        </w:tc>
        <w:tc>
          <w:tcPr>
            <w:tcW w:w="640" w:type="dxa"/>
            <w:vAlign w:val="bottom"/>
            <w:shd w:val="clear" w:color="auto" w:fill="ECE8EF"/>
          </w:tcPr>
          <w:p>
            <w:pPr>
              <w:spacing w:after="0"/>
              <w:rPr>
                <w:sz w:val="24"/>
                <w:szCs w:val="24"/>
                <w:color w:val="auto"/>
              </w:rPr>
            </w:pPr>
          </w:p>
        </w:tc>
        <w:tc>
          <w:tcPr>
            <w:tcW w:w="226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Human Capital Management</w:t>
            </w:r>
          </w:p>
        </w:tc>
        <w:tc>
          <w:tcPr>
            <w:tcW w:w="640" w:type="dxa"/>
            <w:vAlign w:val="bottom"/>
            <w:shd w:val="clear" w:color="auto" w:fill="ECE8EF"/>
          </w:tcPr>
          <w:p>
            <w:pPr>
              <w:spacing w:after="0"/>
              <w:rPr>
                <w:sz w:val="24"/>
                <w:szCs w:val="24"/>
                <w:color w:val="auto"/>
              </w:rPr>
            </w:pP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Enterprise Risk Management/</w:t>
            </w:r>
          </w:p>
        </w:tc>
        <w:tc>
          <w:tcPr>
            <w:tcW w:w="0" w:type="dxa"/>
            <w:vAlign w:val="bottom"/>
          </w:tcPr>
          <w:p>
            <w:pPr>
              <w:spacing w:after="0"/>
              <w:rPr>
                <w:sz w:val="1"/>
                <w:szCs w:val="1"/>
                <w:color w:val="auto"/>
              </w:rPr>
            </w:pPr>
          </w:p>
        </w:tc>
      </w:tr>
      <w:tr>
        <w:trPr>
          <w:trHeight w:val="96"/>
        </w:trPr>
        <w:tc>
          <w:tcPr>
            <w:tcW w:w="64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Board Experience</w:t>
            </w:r>
          </w:p>
        </w:tc>
        <w:tc>
          <w:tcPr>
            <w:tcW w:w="640" w:type="dxa"/>
            <w:vAlign w:val="bottom"/>
            <w:shd w:val="clear" w:color="auto" w:fill="ECE8EF"/>
          </w:tcPr>
          <w:p>
            <w:pPr>
              <w:spacing w:after="0"/>
              <w:rPr>
                <w:sz w:val="8"/>
                <w:szCs w:val="8"/>
                <w:color w:val="auto"/>
              </w:rPr>
            </w:pPr>
          </w:p>
        </w:tc>
        <w:tc>
          <w:tcPr>
            <w:tcW w:w="226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restart"/>
            <w:shd w:val="clear" w:color="auto" w:fill="ECE8EF"/>
          </w:tcPr>
          <w:p>
            <w:pPr>
              <w:ind w:left="60"/>
              <w:spacing w:after="0"/>
              <w:rPr>
                <w:sz w:val="20"/>
                <w:szCs w:val="20"/>
                <w:color w:val="auto"/>
              </w:rPr>
            </w:pPr>
            <w:r>
              <w:rPr>
                <w:rFonts w:ascii="Arial" w:cs="Arial" w:eastAsia="Arial" w:hAnsi="Arial"/>
                <w:sz w:val="14"/>
                <w:szCs w:val="14"/>
                <w:color w:val="auto"/>
              </w:rPr>
              <w:t>Information Security</w:t>
            </w:r>
          </w:p>
        </w:tc>
        <w:tc>
          <w:tcPr>
            <w:tcW w:w="0" w:type="dxa"/>
            <w:vAlign w:val="bottom"/>
          </w:tcPr>
          <w:p>
            <w:pPr>
              <w:spacing w:after="0"/>
              <w:rPr>
                <w:sz w:val="1"/>
                <w:szCs w:val="1"/>
                <w:color w:val="auto"/>
              </w:rPr>
            </w:pPr>
          </w:p>
        </w:tc>
      </w:tr>
      <w:tr>
        <w:trPr>
          <w:trHeight w:val="95"/>
        </w:trPr>
        <w:tc>
          <w:tcPr>
            <w:tcW w:w="64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continue"/>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404"/>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Mergers and Acquisitions/</w:t>
            </w:r>
          </w:p>
        </w:tc>
        <w:tc>
          <w:tcPr>
            <w:tcW w:w="640" w:type="dxa"/>
            <w:vAlign w:val="bottom"/>
            <w:shd w:val="clear" w:color="auto" w:fill="ECE8EF"/>
          </w:tcPr>
          <w:p>
            <w:pPr>
              <w:spacing w:after="0"/>
              <w:rPr>
                <w:sz w:val="24"/>
                <w:szCs w:val="24"/>
                <w:color w:val="auto"/>
              </w:rPr>
            </w:pPr>
          </w:p>
        </w:tc>
        <w:tc>
          <w:tcPr>
            <w:tcW w:w="226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Government and Regulatory</w:t>
            </w:r>
          </w:p>
        </w:tc>
        <w:tc>
          <w:tcPr>
            <w:tcW w:w="640" w:type="dxa"/>
            <w:vAlign w:val="bottom"/>
            <w:shd w:val="clear" w:color="auto" w:fill="ECE8EF"/>
          </w:tcPr>
          <w:p>
            <w:pPr>
              <w:spacing w:after="0"/>
              <w:rPr>
                <w:sz w:val="24"/>
                <w:szCs w:val="24"/>
                <w:color w:val="auto"/>
              </w:rPr>
            </w:pPr>
          </w:p>
        </w:tc>
        <w:tc>
          <w:tcPr>
            <w:tcW w:w="2000" w:type="dxa"/>
            <w:vAlign w:val="bottom"/>
            <w:vMerge w:val="restart"/>
            <w:shd w:val="clear" w:color="auto" w:fill="ECE8EF"/>
          </w:tcPr>
          <w:p>
            <w:pPr>
              <w:ind w:left="60"/>
              <w:spacing w:after="0"/>
              <w:rPr>
                <w:sz w:val="20"/>
                <w:szCs w:val="20"/>
                <w:color w:val="auto"/>
              </w:rPr>
            </w:pPr>
            <w:r>
              <w:rPr>
                <w:rFonts w:ascii="Arial" w:cs="Arial" w:eastAsia="Arial" w:hAnsi="Arial"/>
                <w:sz w:val="14"/>
                <w:szCs w:val="14"/>
                <w:color w:val="auto"/>
              </w:rPr>
              <w:t>Business Transformation</w:t>
            </w: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64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Capital Allocation</w:t>
            </w:r>
          </w:p>
        </w:tc>
        <w:tc>
          <w:tcPr>
            <w:tcW w:w="640" w:type="dxa"/>
            <w:vAlign w:val="bottom"/>
            <w:shd w:val="clear" w:color="auto" w:fill="ECE8EF"/>
          </w:tcPr>
          <w:p>
            <w:pPr>
              <w:spacing w:after="0"/>
              <w:rPr>
                <w:sz w:val="8"/>
                <w:szCs w:val="8"/>
                <w:color w:val="auto"/>
              </w:rPr>
            </w:pPr>
          </w:p>
        </w:tc>
        <w:tc>
          <w:tcPr>
            <w:tcW w:w="226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vMerge w:val="continue"/>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4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418"/>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Financial Technology</w:t>
            </w:r>
          </w:p>
        </w:tc>
        <w:tc>
          <w:tcPr>
            <w:tcW w:w="640" w:type="dxa"/>
            <w:vAlign w:val="bottom"/>
            <w:shd w:val="clear" w:color="auto" w:fill="ECE8EF"/>
          </w:tcPr>
          <w:p>
            <w:pPr>
              <w:spacing w:after="0"/>
              <w:rPr>
                <w:sz w:val="24"/>
                <w:szCs w:val="24"/>
                <w:color w:val="auto"/>
              </w:rPr>
            </w:pPr>
          </w:p>
        </w:tc>
        <w:tc>
          <w:tcPr>
            <w:tcW w:w="2260" w:type="dxa"/>
            <w:vAlign w:val="bottom"/>
            <w:shd w:val="clear" w:color="auto" w:fill="ECE8EF"/>
          </w:tcPr>
          <w:p>
            <w:pPr>
              <w:ind w:left="40"/>
              <w:spacing w:after="0"/>
              <w:rPr>
                <w:sz w:val="20"/>
                <w:szCs w:val="20"/>
                <w:color w:val="auto"/>
              </w:rPr>
            </w:pPr>
            <w:r>
              <w:rPr>
                <w:rFonts w:ascii="Arial" w:cs="Arial" w:eastAsia="Arial" w:hAnsi="Arial"/>
                <w:sz w:val="14"/>
                <w:szCs w:val="14"/>
                <w:color w:val="auto"/>
              </w:rPr>
              <w:t>Banking/Financial Services</w:t>
            </w: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2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431C5B"/>
        </w:rPr>
        <w:t>Experience</w:t>
      </w:r>
    </w:p>
    <w:p>
      <w:pPr>
        <w:spacing w:after="0" w:line="127" w:lineRule="exact"/>
        <w:rPr>
          <w:sz w:val="20"/>
          <w:szCs w:val="20"/>
          <w:color w:val="auto"/>
        </w:rPr>
      </w:pPr>
    </w:p>
    <w:p>
      <w:pPr>
        <w:ind w:left="520" w:hanging="196"/>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Senior Advisor, </w:t>
      </w:r>
      <w:r>
        <w:rPr>
          <w:rFonts w:ascii="Arial" w:cs="Arial" w:eastAsia="Arial" w:hAnsi="Arial"/>
          <w:sz w:val="14"/>
          <w:szCs w:val="14"/>
          <w:b w:val="1"/>
          <w:bCs w:val="1"/>
          <w:color w:val="auto"/>
        </w:rPr>
        <w:t>Canapi Ventures</w:t>
      </w:r>
      <w:r>
        <w:rPr>
          <w:rFonts w:ascii="Arial" w:cs="Arial" w:eastAsia="Arial" w:hAnsi="Arial"/>
          <w:sz w:val="14"/>
          <w:szCs w:val="14"/>
          <w:color w:val="auto"/>
        </w:rPr>
        <w:t xml:space="preserve"> (2019 – present)</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Advisor Emeritus (2019 – present), Senior Advisor (2016 – 2019), Managing Director (2011 – 2016 and 2004 – 2009),</w:t>
      </w:r>
    </w:p>
    <w:p>
      <w:pPr>
        <w:spacing w:after="0" w:line="29"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b w:val="1"/>
          <w:bCs w:val="1"/>
          <w:color w:val="auto"/>
        </w:rPr>
        <w:t>Hellman &amp; Friedman LLC</w:t>
      </w:r>
    </w:p>
    <w:p>
      <w:pPr>
        <w:spacing w:after="0" w:line="80" w:lineRule="exact"/>
        <w:rPr>
          <w:rFonts w:ascii="Arial" w:cs="Arial" w:eastAsia="Arial" w:hAnsi="Arial"/>
          <w:sz w:val="14"/>
          <w:szCs w:val="14"/>
          <w:color w:val="auto"/>
        </w:rPr>
      </w:pPr>
    </w:p>
    <w:p>
      <w:pPr>
        <w:ind w:left="520" w:hanging="196"/>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Chief Executive Officer, </w:t>
      </w:r>
      <w:r>
        <w:rPr>
          <w:rFonts w:ascii="Arial" w:cs="Arial" w:eastAsia="Arial" w:hAnsi="Arial"/>
          <w:sz w:val="14"/>
          <w:szCs w:val="14"/>
          <w:b w:val="1"/>
          <w:bCs w:val="1"/>
          <w:color w:val="auto"/>
        </w:rPr>
        <w:t>SpringHarbor Financial Group LLC</w:t>
      </w:r>
      <w:r>
        <w:rPr>
          <w:rFonts w:ascii="Arial" w:cs="Arial" w:eastAsia="Arial" w:hAnsi="Arial"/>
          <w:sz w:val="14"/>
          <w:szCs w:val="14"/>
          <w:color w:val="auto"/>
        </w:rPr>
        <w:t xml:space="preserve"> (2016 – 2018)</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Under Secretary of the Treasury for Domestic Finance and Counselor to the Secretary of the Treasury (2009 – 2011)</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Managing Director (1999 – 2004), Chief Financial Officer (2003 – 2004), </w:t>
      </w:r>
      <w:r>
        <w:rPr>
          <w:rFonts w:ascii="Arial" w:cs="Arial" w:eastAsia="Arial" w:hAnsi="Arial"/>
          <w:sz w:val="14"/>
          <w:szCs w:val="14"/>
          <w:b w:val="1"/>
          <w:bCs w:val="1"/>
          <w:color w:val="auto"/>
        </w:rPr>
        <w:t>World Bank</w:t>
      </w:r>
    </w:p>
    <w:p>
      <w:pPr>
        <w:spacing w:after="0" w:line="82" w:lineRule="exact"/>
        <w:rPr>
          <w:rFonts w:ascii="Arial" w:cs="Arial" w:eastAsia="Arial" w:hAnsi="Arial"/>
          <w:sz w:val="14"/>
          <w:szCs w:val="14"/>
          <w:color w:val="auto"/>
        </w:rPr>
      </w:pPr>
    </w:p>
    <w:p>
      <w:pPr>
        <w:ind w:left="520" w:right="679" w:hanging="196"/>
        <w:spacing w:after="0" w:line="305"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Co-Chairman, BT Wolfensohn and partner at predecessor organizations (1984 – 1999) and a member of the Bankers Trust Company Management Committee (1996 – 1999)</w:t>
      </w:r>
    </w:p>
    <w:p>
      <w:pPr>
        <w:spacing w:after="0" w:line="337" w:lineRule="exact"/>
        <w:rPr>
          <w:sz w:val="20"/>
          <w:szCs w:val="20"/>
          <w:color w:val="auto"/>
        </w:rPr>
      </w:pPr>
    </w:p>
    <w:tbl>
      <w:tblPr>
        <w:tblLayout w:type="fixed"/>
        <w:tblInd w:w="320" w:type="dxa"/>
        <w:tblCellMar>
          <w:top w:w="0" w:type="dxa"/>
          <w:left w:w="0" w:type="dxa"/>
          <w:bottom w:w="0" w:type="dxa"/>
          <w:right w:w="0" w:type="dxa"/>
        </w:tblCellMar>
      </w:tblPr>
      <w:tr>
        <w:trPr>
          <w:trHeight w:val="247"/>
        </w:trPr>
        <w:tc>
          <w:tcPr>
            <w:tcW w:w="3920" w:type="dxa"/>
            <w:vAlign w:val="bottom"/>
          </w:tcPr>
          <w:p>
            <w:pPr>
              <w:spacing w:after="0"/>
              <w:rPr>
                <w:sz w:val="20"/>
                <w:szCs w:val="20"/>
                <w:color w:val="auto"/>
              </w:rPr>
            </w:pPr>
            <w:r>
              <w:rPr>
                <w:rFonts w:ascii="Arial" w:cs="Arial" w:eastAsia="Arial" w:hAnsi="Arial"/>
                <w:sz w:val="18"/>
                <w:szCs w:val="18"/>
                <w:b w:val="1"/>
                <w:bCs w:val="1"/>
                <w:color w:val="431C5B"/>
              </w:rPr>
              <w:t>Other Public Company Boards (Current)</w:t>
            </w:r>
          </w:p>
        </w:tc>
        <w:tc>
          <w:tcPr>
            <w:tcW w:w="3600" w:type="dxa"/>
            <w:vAlign w:val="bottom"/>
          </w:tcPr>
          <w:p>
            <w:pPr>
              <w:ind w:left="500"/>
              <w:spacing w:after="0"/>
              <w:rPr>
                <w:sz w:val="20"/>
                <w:szCs w:val="20"/>
                <w:color w:val="auto"/>
              </w:rPr>
            </w:pPr>
            <w:r>
              <w:rPr>
                <w:rFonts w:ascii="Arial" w:cs="Arial" w:eastAsia="Arial" w:hAnsi="Arial"/>
                <w:sz w:val="18"/>
                <w:szCs w:val="18"/>
                <w:b w:val="1"/>
                <w:bCs w:val="1"/>
                <w:color w:val="431C5B"/>
              </w:rPr>
              <w:t>Education</w:t>
            </w: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r>
              <w:rPr>
                <w:rFonts w:ascii="Arial" w:cs="Arial" w:eastAsia="Arial" w:hAnsi="Arial"/>
                <w:sz w:val="14"/>
                <w:szCs w:val="14"/>
                <w:color w:val="auto"/>
              </w:rPr>
              <w:t>•  Bank of New York Mellon (2014 – present)</w:t>
            </w:r>
          </w:p>
        </w:tc>
        <w:tc>
          <w:tcPr>
            <w:tcW w:w="3600" w:type="dxa"/>
            <w:vAlign w:val="bottom"/>
          </w:tcPr>
          <w:p>
            <w:pPr>
              <w:ind w:left="500"/>
              <w:spacing w:after="0"/>
              <w:rPr>
                <w:sz w:val="20"/>
                <w:szCs w:val="20"/>
                <w:color w:val="auto"/>
              </w:rPr>
            </w:pPr>
            <w:r>
              <w:rPr>
                <w:rFonts w:ascii="Arial" w:cs="Arial" w:eastAsia="Arial" w:hAnsi="Arial"/>
                <w:sz w:val="14"/>
                <w:szCs w:val="14"/>
                <w:color w:val="auto"/>
              </w:rPr>
              <w:t>•  BA, Economics, Vassar College</w:t>
            </w:r>
          </w:p>
        </w:tc>
        <w:tc>
          <w:tcPr>
            <w:tcW w:w="0" w:type="dxa"/>
            <w:vAlign w:val="bottom"/>
          </w:tcPr>
          <w:p>
            <w:pPr>
              <w:spacing w:after="0"/>
              <w:rPr>
                <w:sz w:val="1"/>
                <w:szCs w:val="1"/>
                <w:color w:val="auto"/>
              </w:rPr>
            </w:pPr>
          </w:p>
        </w:tc>
      </w:tr>
      <w:tr>
        <w:trPr>
          <w:trHeight w:val="243"/>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431C5B"/>
              </w:rPr>
              <w:t>Other Public Company Boards (Former)</w:t>
            </w:r>
          </w:p>
        </w:tc>
        <w:tc>
          <w:tcPr>
            <w:tcW w:w="3600" w:type="dxa"/>
            <w:vAlign w:val="bottom"/>
          </w:tcPr>
          <w:p>
            <w:pPr>
              <w:ind w:left="500"/>
              <w:spacing w:after="0"/>
              <w:rPr>
                <w:sz w:val="20"/>
                <w:szCs w:val="20"/>
                <w:color w:val="auto"/>
              </w:rPr>
            </w:pPr>
            <w:r>
              <w:rPr>
                <w:rFonts w:ascii="Arial" w:cs="Arial" w:eastAsia="Arial" w:hAnsi="Arial"/>
                <w:sz w:val="14"/>
                <w:szCs w:val="14"/>
                <w:color w:val="auto"/>
              </w:rPr>
              <w:t>•  MA, M Phil., PhD, Economics, Yale University</w:t>
            </w:r>
          </w:p>
        </w:tc>
        <w:tc>
          <w:tcPr>
            <w:tcW w:w="0" w:type="dxa"/>
            <w:vAlign w:val="bottom"/>
          </w:tcPr>
          <w:p>
            <w:pPr>
              <w:spacing w:after="0"/>
              <w:rPr>
                <w:sz w:val="1"/>
                <w:szCs w:val="1"/>
                <w:color w:val="auto"/>
              </w:rPr>
            </w:pPr>
          </w:p>
        </w:tc>
      </w:tr>
      <w:tr>
        <w:trPr>
          <w:trHeight w:val="155"/>
        </w:trPr>
        <w:tc>
          <w:tcPr>
            <w:tcW w:w="392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4"/>
                <w:szCs w:val="14"/>
                <w:color w:val="auto"/>
              </w:rPr>
              <w:t>•  Westfield Corporation (2016 – 2018)</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4"/>
                <w:szCs w:val="14"/>
                <w:color w:val="auto"/>
              </w:rPr>
              <w:t>•  LPL Financial (2005 – 2009, 2011 – 2013)</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4"/>
                <w:szCs w:val="14"/>
                <w:color w:val="auto"/>
              </w:rPr>
              <w:t>•  Arch Capital (2006 – 2007)</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19</w:t>
      </w:r>
    </w:p>
    <w:p>
      <w:pPr>
        <w:sectPr>
          <w:pgSz w:w="11900" w:h="16838" w:orient="portrait"/>
          <w:cols w:equalWidth="0" w:num="1">
            <w:col w:w="9019"/>
          </w:cols>
          <w:pgMar w:left="1440" w:top="657" w:right="1440" w:bottom="1440" w:gutter="0" w:footer="0" w:header="0"/>
          <w:type w:val="continuous"/>
        </w:sectPr>
      </w:pPr>
    </w:p>
    <w:bookmarkStart w:id="22" w:name="page23"/>
    <w:bookmarkEnd w:id="22"/>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60"/>
        <w:spacing w:after="0"/>
        <w:rPr>
          <w:sz w:val="20"/>
          <w:szCs w:val="20"/>
          <w:color w:val="auto"/>
        </w:rPr>
      </w:pPr>
      <w:r>
        <w:rPr>
          <w:rFonts w:ascii="Arial" w:cs="Arial" w:eastAsia="Arial" w:hAnsi="Arial"/>
          <w:sz w:val="27"/>
          <w:szCs w:val="27"/>
          <w:b w:val="1"/>
          <w:bCs w:val="1"/>
          <w:color w:val="431C5B"/>
        </w:rPr>
        <w:t>Stephanie L. Ferris</w:t>
      </w:r>
    </w:p>
    <w:p>
      <w:pPr>
        <w:spacing w:after="0" w:line="48"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431C5B"/>
        </w:rPr>
        <w:t>Chief Executive Officer and President</w:t>
      </w:r>
    </w:p>
    <w:p>
      <w:pPr>
        <w:spacing w:after="0" w:line="163" w:lineRule="exact"/>
        <w:rPr>
          <w:sz w:val="20"/>
          <w:szCs w:val="20"/>
          <w:color w:val="auto"/>
        </w:rPr>
      </w:pPr>
    </w:p>
    <w:tbl>
      <w:tblPr>
        <w:tblLayout w:type="fixed"/>
        <w:tblInd w:w="2360" w:type="dxa"/>
        <w:tblCellMar>
          <w:top w:w="0" w:type="dxa"/>
          <w:left w:w="0" w:type="dxa"/>
          <w:bottom w:w="0" w:type="dxa"/>
          <w:right w:w="0" w:type="dxa"/>
        </w:tblCellMar>
      </w:tblPr>
      <w:tr>
        <w:trPr>
          <w:trHeight w:val="196"/>
        </w:trPr>
        <w:tc>
          <w:tcPr>
            <w:tcW w:w="2620" w:type="dxa"/>
            <w:vAlign w:val="bottom"/>
          </w:tcPr>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auto"/>
              </w:rPr>
              <w:t>52</w:t>
            </w:r>
            <w:r>
              <w:rPr>
                <w:rFonts w:ascii="Arial" w:cs="Arial" w:eastAsia="Arial" w:hAnsi="Arial"/>
                <w:sz w:val="14"/>
                <w:szCs w:val="14"/>
                <w:color w:val="auto"/>
              </w:rPr>
              <w:t xml:space="preserve"> | Director since: </w:t>
            </w:r>
            <w:r>
              <w:rPr>
                <w:rFonts w:ascii="Arial" w:cs="Arial" w:eastAsia="Arial" w:hAnsi="Arial"/>
                <w:sz w:val="14"/>
                <w:szCs w:val="14"/>
                <w:b w:val="1"/>
                <w:bCs w:val="1"/>
                <w:color w:val="auto"/>
              </w:rPr>
              <w:t>2022</w:t>
            </w:r>
          </w:p>
        </w:tc>
        <w:tc>
          <w:tcPr>
            <w:tcW w:w="3660" w:type="dxa"/>
            <w:vAlign w:val="bottom"/>
          </w:tcPr>
          <w:p>
            <w:pPr>
              <w:ind w:left="760"/>
              <w:spacing w:after="0"/>
              <w:rPr>
                <w:sz w:val="20"/>
                <w:szCs w:val="20"/>
                <w:color w:val="auto"/>
              </w:rPr>
            </w:pPr>
            <w:r>
              <w:rPr>
                <w:rFonts w:ascii="Arial" w:cs="Arial" w:eastAsia="Arial" w:hAnsi="Arial"/>
                <w:sz w:val="14"/>
                <w:szCs w:val="14"/>
                <w:color w:val="auto"/>
              </w:rPr>
              <w:t xml:space="preserve">Committee Member: </w:t>
            </w:r>
            <w:r>
              <w:rPr>
                <w:rFonts w:ascii="Arial" w:cs="Arial" w:eastAsia="Arial" w:hAnsi="Arial"/>
                <w:sz w:val="14"/>
                <w:szCs w:val="14"/>
                <w:b w:val="1"/>
                <w:bCs w:val="1"/>
                <w:color w:val="auto"/>
              </w:rPr>
              <w:t>Executive</w:t>
            </w:r>
          </w:p>
        </w:tc>
      </w:tr>
      <w:tr>
        <w:trPr>
          <w:trHeight w:val="283"/>
        </w:trPr>
        <w:tc>
          <w:tcPr>
            <w:tcW w:w="2620" w:type="dxa"/>
            <w:vAlign w:val="bottom"/>
          </w:tcPr>
          <w:p>
            <w:pPr>
              <w:spacing w:after="0"/>
              <w:rPr>
                <w:sz w:val="20"/>
                <w:szCs w:val="20"/>
                <w:color w:val="auto"/>
              </w:rPr>
            </w:pPr>
            <w:r>
              <w:rPr>
                <w:rFonts w:ascii="Arial" w:cs="Arial" w:eastAsia="Arial" w:hAnsi="Arial"/>
                <w:sz w:val="14"/>
                <w:szCs w:val="14"/>
                <w:color w:val="auto"/>
              </w:rPr>
              <w:t xml:space="preserve">Committee Chair: </w:t>
            </w:r>
            <w:r>
              <w:rPr>
                <w:rFonts w:ascii="Arial" w:cs="Arial" w:eastAsia="Arial" w:hAnsi="Arial"/>
                <w:sz w:val="14"/>
                <w:szCs w:val="14"/>
                <w:b w:val="1"/>
                <w:bCs w:val="1"/>
                <w:color w:val="auto"/>
              </w:rPr>
              <w:t>None</w:t>
            </w:r>
          </w:p>
        </w:tc>
        <w:tc>
          <w:tcPr>
            <w:tcW w:w="3660" w:type="dxa"/>
            <w:vAlign w:val="bottom"/>
          </w:tcPr>
          <w:p>
            <w:pPr>
              <w:ind w:left="760"/>
              <w:spacing w:after="0"/>
              <w:rPr>
                <w:sz w:val="20"/>
                <w:szCs w:val="20"/>
                <w:color w:val="auto"/>
              </w:rPr>
            </w:pPr>
            <w:r>
              <w:rPr>
                <w:rFonts w:ascii="Arial" w:cs="Arial" w:eastAsia="Arial" w:hAnsi="Arial"/>
                <w:sz w:val="14"/>
                <w:szCs w:val="14"/>
                <w:color w:val="auto"/>
              </w:rPr>
              <w:t xml:space="preserve">Other Current Public Company Boards: </w:t>
            </w:r>
            <w:r>
              <w:rPr>
                <w:rFonts w:ascii="Arial" w:cs="Arial" w:eastAsia="Arial" w:hAnsi="Arial"/>
                <w:sz w:val="14"/>
                <w:szCs w:val="14"/>
                <w:b w:val="1"/>
                <w:bCs w:val="1"/>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31C5B"/>
        </w:rPr>
        <w:t>Skills and Qualifications</w:t>
      </w:r>
    </w:p>
    <w:p>
      <w:pPr>
        <w:spacing w:after="0" w:line="48" w:lineRule="exact"/>
        <w:rPr>
          <w:sz w:val="20"/>
          <w:szCs w:val="20"/>
          <w:color w:val="auto"/>
        </w:rPr>
      </w:pPr>
    </w:p>
    <w:tbl>
      <w:tblPr>
        <w:tblLayout w:type="fixed"/>
        <w:tblInd w:w="300" w:type="dxa"/>
        <w:tblCellMar>
          <w:top w:w="0" w:type="dxa"/>
          <w:left w:w="0" w:type="dxa"/>
          <w:bottom w:w="0" w:type="dxa"/>
          <w:right w:w="0" w:type="dxa"/>
        </w:tblCellMar>
      </w:tblPr>
      <w:tr>
        <w:trPr>
          <w:trHeight w:val="34"/>
        </w:trPr>
        <w:tc>
          <w:tcPr>
            <w:tcW w:w="640" w:type="dxa"/>
            <w:vAlign w:val="bottom"/>
            <w:shd w:val="clear" w:color="auto" w:fill="ECE8EF"/>
          </w:tcPr>
          <w:p>
            <w:pPr>
              <w:spacing w:after="0"/>
              <w:rPr>
                <w:sz w:val="2"/>
                <w:szCs w:val="2"/>
                <w:color w:val="auto"/>
              </w:rPr>
            </w:pPr>
          </w:p>
        </w:tc>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3"/>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Executive Leadership</w:t>
            </w:r>
          </w:p>
        </w:tc>
        <w:tc>
          <w:tcPr>
            <w:tcW w:w="640" w:type="dxa"/>
            <w:vAlign w:val="bottom"/>
            <w:shd w:val="clear" w:color="auto" w:fill="ECE8EF"/>
          </w:tcPr>
          <w:p>
            <w:pPr>
              <w:spacing w:after="0"/>
              <w:rPr>
                <w:sz w:val="24"/>
                <w:szCs w:val="24"/>
                <w:color w:val="auto"/>
              </w:rPr>
            </w:pPr>
          </w:p>
        </w:tc>
        <w:tc>
          <w:tcPr>
            <w:tcW w:w="2900" w:type="dxa"/>
            <w:vAlign w:val="bottom"/>
            <w:gridSpan w:val="2"/>
            <w:shd w:val="clear" w:color="auto" w:fill="ECE8EF"/>
          </w:tcPr>
          <w:p>
            <w:pPr>
              <w:ind w:left="40"/>
              <w:spacing w:after="0"/>
              <w:rPr>
                <w:sz w:val="20"/>
                <w:szCs w:val="20"/>
                <w:color w:val="auto"/>
              </w:rPr>
            </w:pPr>
            <w:r>
              <w:rPr>
                <w:rFonts w:ascii="Arial" w:cs="Arial" w:eastAsia="Arial" w:hAnsi="Arial"/>
                <w:sz w:val="14"/>
                <w:szCs w:val="14"/>
                <w:color w:val="auto"/>
              </w:rPr>
              <w:t>Global Business Experience</w:t>
            </w: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Financial Expertise</w:t>
            </w:r>
          </w:p>
        </w:tc>
        <w:tc>
          <w:tcPr>
            <w:tcW w:w="0" w:type="dxa"/>
            <w:vAlign w:val="bottom"/>
          </w:tcPr>
          <w:p>
            <w:pPr>
              <w:spacing w:after="0"/>
              <w:rPr>
                <w:sz w:val="1"/>
                <w:szCs w:val="1"/>
                <w:color w:val="auto"/>
              </w:rPr>
            </w:pPr>
          </w:p>
        </w:tc>
      </w:tr>
      <w:tr>
        <w:trPr>
          <w:trHeight w:val="444"/>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Public Company</w:t>
            </w:r>
          </w:p>
        </w:tc>
        <w:tc>
          <w:tcPr>
            <w:tcW w:w="640" w:type="dxa"/>
            <w:vAlign w:val="bottom"/>
            <w:shd w:val="clear" w:color="auto" w:fill="ECE8EF"/>
          </w:tcPr>
          <w:p>
            <w:pPr>
              <w:spacing w:after="0"/>
              <w:rPr>
                <w:sz w:val="24"/>
                <w:szCs w:val="24"/>
                <w:color w:val="auto"/>
              </w:rPr>
            </w:pPr>
          </w:p>
        </w:tc>
        <w:tc>
          <w:tcPr>
            <w:tcW w:w="226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Human Capital Management</w:t>
            </w:r>
          </w:p>
        </w:tc>
        <w:tc>
          <w:tcPr>
            <w:tcW w:w="640" w:type="dxa"/>
            <w:vAlign w:val="bottom"/>
            <w:shd w:val="clear" w:color="auto" w:fill="ECE8EF"/>
          </w:tcPr>
          <w:p>
            <w:pPr>
              <w:spacing w:after="0"/>
              <w:rPr>
                <w:sz w:val="24"/>
                <w:szCs w:val="24"/>
                <w:color w:val="auto"/>
              </w:rPr>
            </w:pP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Enterprise Risk Management/</w:t>
            </w:r>
          </w:p>
        </w:tc>
        <w:tc>
          <w:tcPr>
            <w:tcW w:w="0" w:type="dxa"/>
            <w:vAlign w:val="bottom"/>
          </w:tcPr>
          <w:p>
            <w:pPr>
              <w:spacing w:after="0"/>
              <w:rPr>
                <w:sz w:val="1"/>
                <w:szCs w:val="1"/>
                <w:color w:val="auto"/>
              </w:rPr>
            </w:pPr>
          </w:p>
        </w:tc>
      </w:tr>
      <w:tr>
        <w:trPr>
          <w:trHeight w:val="96"/>
        </w:trPr>
        <w:tc>
          <w:tcPr>
            <w:tcW w:w="64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Board Experience</w:t>
            </w:r>
          </w:p>
        </w:tc>
        <w:tc>
          <w:tcPr>
            <w:tcW w:w="640" w:type="dxa"/>
            <w:vAlign w:val="bottom"/>
            <w:shd w:val="clear" w:color="auto" w:fill="ECE8EF"/>
          </w:tcPr>
          <w:p>
            <w:pPr>
              <w:spacing w:after="0"/>
              <w:rPr>
                <w:sz w:val="8"/>
                <w:szCs w:val="8"/>
                <w:color w:val="auto"/>
              </w:rPr>
            </w:pPr>
          </w:p>
        </w:tc>
        <w:tc>
          <w:tcPr>
            <w:tcW w:w="226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restart"/>
            <w:shd w:val="clear" w:color="auto" w:fill="ECE8EF"/>
          </w:tcPr>
          <w:p>
            <w:pPr>
              <w:ind w:left="60"/>
              <w:spacing w:after="0"/>
              <w:rPr>
                <w:sz w:val="20"/>
                <w:szCs w:val="20"/>
                <w:color w:val="auto"/>
              </w:rPr>
            </w:pPr>
            <w:r>
              <w:rPr>
                <w:rFonts w:ascii="Arial" w:cs="Arial" w:eastAsia="Arial" w:hAnsi="Arial"/>
                <w:sz w:val="14"/>
                <w:szCs w:val="14"/>
                <w:color w:val="auto"/>
              </w:rPr>
              <w:t>Information Security</w:t>
            </w:r>
          </w:p>
        </w:tc>
        <w:tc>
          <w:tcPr>
            <w:tcW w:w="0" w:type="dxa"/>
            <w:vAlign w:val="bottom"/>
          </w:tcPr>
          <w:p>
            <w:pPr>
              <w:spacing w:after="0"/>
              <w:rPr>
                <w:sz w:val="1"/>
                <w:szCs w:val="1"/>
                <w:color w:val="auto"/>
              </w:rPr>
            </w:pPr>
          </w:p>
        </w:tc>
      </w:tr>
      <w:tr>
        <w:trPr>
          <w:trHeight w:val="94"/>
        </w:trPr>
        <w:tc>
          <w:tcPr>
            <w:tcW w:w="64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continue"/>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Mergers and Acquisitions/</w:t>
            </w:r>
          </w:p>
        </w:tc>
        <w:tc>
          <w:tcPr>
            <w:tcW w:w="640" w:type="dxa"/>
            <w:vAlign w:val="bottom"/>
            <w:shd w:val="clear" w:color="auto" w:fill="ECE8EF"/>
          </w:tcPr>
          <w:p>
            <w:pPr>
              <w:spacing w:after="0"/>
              <w:rPr>
                <w:sz w:val="24"/>
                <w:szCs w:val="24"/>
                <w:color w:val="auto"/>
              </w:rPr>
            </w:pPr>
          </w:p>
        </w:tc>
        <w:tc>
          <w:tcPr>
            <w:tcW w:w="226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Government and Regulatory</w:t>
            </w:r>
          </w:p>
        </w:tc>
        <w:tc>
          <w:tcPr>
            <w:tcW w:w="640" w:type="dxa"/>
            <w:vAlign w:val="bottom"/>
            <w:shd w:val="clear" w:color="auto" w:fill="ECE8EF"/>
          </w:tcPr>
          <w:p>
            <w:pPr>
              <w:spacing w:after="0"/>
              <w:rPr>
                <w:sz w:val="24"/>
                <w:szCs w:val="24"/>
                <w:color w:val="auto"/>
              </w:rPr>
            </w:pPr>
          </w:p>
        </w:tc>
        <w:tc>
          <w:tcPr>
            <w:tcW w:w="2000" w:type="dxa"/>
            <w:vAlign w:val="bottom"/>
            <w:vMerge w:val="restart"/>
            <w:shd w:val="clear" w:color="auto" w:fill="ECE8EF"/>
          </w:tcPr>
          <w:p>
            <w:pPr>
              <w:ind w:left="60"/>
              <w:spacing w:after="0"/>
              <w:rPr>
                <w:sz w:val="20"/>
                <w:szCs w:val="20"/>
                <w:color w:val="auto"/>
              </w:rPr>
            </w:pPr>
            <w:r>
              <w:rPr>
                <w:rFonts w:ascii="Arial" w:cs="Arial" w:eastAsia="Arial" w:hAnsi="Arial"/>
                <w:sz w:val="14"/>
                <w:szCs w:val="14"/>
                <w:color w:val="auto"/>
              </w:rPr>
              <w:t>Sustainability</w:t>
            </w: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64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Capital Allocation</w:t>
            </w:r>
          </w:p>
        </w:tc>
        <w:tc>
          <w:tcPr>
            <w:tcW w:w="640" w:type="dxa"/>
            <w:vAlign w:val="bottom"/>
            <w:shd w:val="clear" w:color="auto" w:fill="ECE8EF"/>
          </w:tcPr>
          <w:p>
            <w:pPr>
              <w:spacing w:after="0"/>
              <w:rPr>
                <w:sz w:val="8"/>
                <w:szCs w:val="8"/>
                <w:color w:val="auto"/>
              </w:rPr>
            </w:pPr>
          </w:p>
        </w:tc>
        <w:tc>
          <w:tcPr>
            <w:tcW w:w="226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vMerge w:val="continue"/>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4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Technology</w:t>
            </w:r>
          </w:p>
        </w:tc>
        <w:tc>
          <w:tcPr>
            <w:tcW w:w="640" w:type="dxa"/>
            <w:vAlign w:val="bottom"/>
            <w:shd w:val="clear" w:color="auto" w:fill="ECE8EF"/>
          </w:tcPr>
          <w:p>
            <w:pPr>
              <w:spacing w:after="0"/>
              <w:rPr>
                <w:sz w:val="24"/>
                <w:szCs w:val="24"/>
                <w:color w:val="auto"/>
              </w:rPr>
            </w:pPr>
          </w:p>
        </w:tc>
        <w:tc>
          <w:tcPr>
            <w:tcW w:w="2260" w:type="dxa"/>
            <w:vAlign w:val="bottom"/>
            <w:shd w:val="clear" w:color="auto" w:fill="ECE8EF"/>
          </w:tcPr>
          <w:p>
            <w:pPr>
              <w:ind w:left="40"/>
              <w:spacing w:after="0"/>
              <w:rPr>
                <w:sz w:val="20"/>
                <w:szCs w:val="20"/>
                <w:color w:val="auto"/>
              </w:rPr>
            </w:pPr>
            <w:r>
              <w:rPr>
                <w:rFonts w:ascii="Arial" w:cs="Arial" w:eastAsia="Arial" w:hAnsi="Arial"/>
                <w:sz w:val="14"/>
                <w:szCs w:val="14"/>
                <w:color w:val="auto"/>
              </w:rPr>
              <w:t>Business Transformation</w:t>
            </w: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ind w:left="60"/>
              <w:spacing w:after="0"/>
              <w:rPr>
                <w:sz w:val="20"/>
                <w:szCs w:val="20"/>
                <w:color w:val="auto"/>
              </w:rPr>
            </w:pPr>
            <w:r>
              <w:rPr>
                <w:rFonts w:ascii="Arial" w:cs="Arial" w:eastAsia="Arial" w:hAnsi="Arial"/>
                <w:sz w:val="14"/>
                <w:szCs w:val="14"/>
                <w:color w:val="auto"/>
              </w:rPr>
              <w:t>Financial Technology</w:t>
            </w: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Banking/Financial Services</w:t>
            </w:r>
          </w:p>
        </w:tc>
        <w:tc>
          <w:tcPr>
            <w:tcW w:w="640" w:type="dxa"/>
            <w:vAlign w:val="bottom"/>
            <w:shd w:val="clear" w:color="auto" w:fill="ECE8EF"/>
          </w:tcPr>
          <w:p>
            <w:pPr>
              <w:spacing w:after="0"/>
              <w:rPr>
                <w:sz w:val="24"/>
                <w:szCs w:val="24"/>
                <w:color w:val="auto"/>
              </w:rPr>
            </w:pPr>
          </w:p>
        </w:tc>
        <w:tc>
          <w:tcPr>
            <w:tcW w:w="2260" w:type="dxa"/>
            <w:vAlign w:val="bottom"/>
            <w:shd w:val="clear" w:color="auto" w:fill="ECE8EF"/>
          </w:tcPr>
          <w:p>
            <w:pPr>
              <w:ind w:left="40"/>
              <w:spacing w:after="0"/>
              <w:rPr>
                <w:sz w:val="20"/>
                <w:szCs w:val="20"/>
                <w:color w:val="auto"/>
              </w:rPr>
            </w:pPr>
            <w:r>
              <w:rPr>
                <w:rFonts w:ascii="Arial" w:cs="Arial" w:eastAsia="Arial" w:hAnsi="Arial"/>
                <w:sz w:val="14"/>
                <w:szCs w:val="14"/>
                <w:color w:val="auto"/>
              </w:rPr>
              <w:t>Digital Transformation Experience</w:t>
            </w: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2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431C5B"/>
        </w:rPr>
        <w:t>Experience</w:t>
      </w:r>
    </w:p>
    <w:p>
      <w:pPr>
        <w:spacing w:after="0" w:line="127" w:lineRule="exact"/>
        <w:rPr>
          <w:sz w:val="20"/>
          <w:szCs w:val="20"/>
          <w:color w:val="auto"/>
        </w:rPr>
      </w:pPr>
    </w:p>
    <w:p>
      <w:pPr>
        <w:ind w:left="520" w:right="499" w:hanging="196"/>
        <w:spacing w:after="0" w:line="282"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Chief Executive Officer (December 2022 – present), President (February 2022 – present), Corporate Executive Vice President and Chief Administrative Officer (2021 – 2022), Corporate Executive Vice President and Chief Operating Officer</w:t>
      </w:r>
    </w:p>
    <w:p>
      <w:pPr>
        <w:ind w:left="520"/>
        <w:spacing w:after="0"/>
        <w:rPr>
          <w:rFonts w:ascii="Arial" w:cs="Arial" w:eastAsia="Arial" w:hAnsi="Arial"/>
          <w:sz w:val="14"/>
          <w:szCs w:val="14"/>
          <w:color w:val="auto"/>
        </w:rPr>
      </w:pPr>
      <w:r>
        <w:rPr>
          <w:rFonts w:ascii="Arial" w:cs="Arial" w:eastAsia="Arial" w:hAnsi="Arial"/>
          <w:sz w:val="14"/>
          <w:szCs w:val="14"/>
          <w:color w:val="auto"/>
        </w:rPr>
        <w:t xml:space="preserve">(2019 – 2020), </w:t>
      </w:r>
      <w:r>
        <w:rPr>
          <w:rFonts w:ascii="Arial" w:cs="Arial" w:eastAsia="Arial" w:hAnsi="Arial"/>
          <w:sz w:val="14"/>
          <w:szCs w:val="14"/>
          <w:b w:val="1"/>
          <w:bCs w:val="1"/>
          <w:color w:val="auto"/>
        </w:rPr>
        <w:t>FIS</w:t>
      </w:r>
    </w:p>
    <w:p>
      <w:pPr>
        <w:spacing w:after="0" w:line="80" w:lineRule="exact"/>
        <w:rPr>
          <w:rFonts w:ascii="Arial" w:cs="Arial" w:eastAsia="Arial" w:hAnsi="Arial"/>
          <w:sz w:val="14"/>
          <w:szCs w:val="14"/>
          <w:color w:val="auto"/>
        </w:rPr>
      </w:pPr>
    </w:p>
    <w:p>
      <w:pPr>
        <w:ind w:left="520" w:right="699" w:hanging="196"/>
        <w:spacing w:after="0" w:line="308"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Chief Financial Officer (2016 – 2019), Deputy Chief Financial Officer (2015 – 2016), General Manager, Merchant Bank and Head of Relationship Management, Financial Institution Services (2013 – 2015), Head of Financial Planning and Analysis (2010 – 2013), </w:t>
      </w:r>
      <w:r>
        <w:rPr>
          <w:rFonts w:ascii="Arial" w:cs="Arial" w:eastAsia="Arial" w:hAnsi="Arial"/>
          <w:sz w:val="14"/>
          <w:szCs w:val="14"/>
          <w:b w:val="1"/>
          <w:bCs w:val="1"/>
          <w:color w:val="auto"/>
        </w:rPr>
        <w:t>Worldpay</w:t>
      </w:r>
    </w:p>
    <w:p>
      <w:pPr>
        <w:spacing w:after="0" w:line="1" w:lineRule="exact"/>
        <w:rPr>
          <w:rFonts w:ascii="Arial" w:cs="Arial" w:eastAsia="Arial" w:hAnsi="Arial"/>
          <w:sz w:val="14"/>
          <w:szCs w:val="14"/>
          <w:color w:val="auto"/>
        </w:rPr>
      </w:pPr>
    </w:p>
    <w:p>
      <w:pPr>
        <w:ind w:left="520" w:hanging="196"/>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Worked in public accounting at PricewaterhouseCoopers (1995 – 2001)</w:t>
      </w:r>
    </w:p>
    <w:p>
      <w:pPr>
        <w:spacing w:after="0" w:line="396" w:lineRule="exact"/>
        <w:rPr>
          <w:sz w:val="20"/>
          <w:szCs w:val="20"/>
          <w:color w:val="auto"/>
        </w:rPr>
      </w:pPr>
    </w:p>
    <w:p>
      <w:pPr>
        <w:ind w:left="320"/>
        <w:spacing w:after="0"/>
        <w:tabs>
          <w:tab w:leader="none" w:pos="4720" w:val="left"/>
        </w:tabs>
        <w:rPr>
          <w:sz w:val="20"/>
          <w:szCs w:val="20"/>
          <w:color w:val="auto"/>
        </w:rPr>
      </w:pPr>
      <w:r>
        <w:rPr>
          <w:rFonts w:ascii="Arial" w:cs="Arial" w:eastAsia="Arial" w:hAnsi="Arial"/>
          <w:sz w:val="18"/>
          <w:szCs w:val="18"/>
          <w:b w:val="1"/>
          <w:bCs w:val="1"/>
          <w:color w:val="431C5B"/>
        </w:rPr>
        <w:t>Other Public Company Boards (Former)</w:t>
      </w:r>
      <w:r>
        <w:rPr>
          <w:sz w:val="20"/>
          <w:szCs w:val="20"/>
          <w:color w:val="auto"/>
        </w:rPr>
        <w:tab/>
      </w:r>
      <w:r>
        <w:rPr>
          <w:rFonts w:ascii="Arial" w:cs="Arial" w:eastAsia="Arial" w:hAnsi="Arial"/>
          <w:sz w:val="18"/>
          <w:szCs w:val="18"/>
          <w:b w:val="1"/>
          <w:bCs w:val="1"/>
          <w:color w:val="431C5B"/>
        </w:rPr>
        <w:t>Education</w:t>
      </w:r>
    </w:p>
    <w:p>
      <w:pPr>
        <w:spacing w:after="0" w:line="122" w:lineRule="exact"/>
        <w:rPr>
          <w:sz w:val="20"/>
          <w:szCs w:val="20"/>
          <w:color w:val="auto"/>
        </w:rPr>
      </w:pPr>
    </w:p>
    <w:p>
      <w:pPr>
        <w:ind w:left="320"/>
        <w:spacing w:after="0"/>
        <w:tabs>
          <w:tab w:leader="none" w:pos="500" w:val="left"/>
          <w:tab w:leader="none" w:pos="4720" w:val="left"/>
          <w:tab w:leader="none" w:pos="4920" w:val="left"/>
        </w:tabs>
        <w:rPr>
          <w:sz w:val="20"/>
          <w:szCs w:val="20"/>
          <w:color w:val="auto"/>
        </w:rPr>
      </w:pPr>
      <w:r>
        <w:rPr>
          <w:rFonts w:ascii="Arial" w:cs="Arial" w:eastAsia="Arial" w:hAnsi="Arial"/>
          <w:sz w:val="14"/>
          <w:szCs w:val="14"/>
          <w:color w:val="auto"/>
        </w:rPr>
        <w:t>•</w:t>
        <w:tab/>
        <w:t>Lululemon Athletica Inc. (2019 – 2022)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BA, Accounting, Miami University</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0" w:hanging="429"/>
        <w:spacing w:after="0"/>
        <w:tabs>
          <w:tab w:leader="none" w:pos="620" w:val="left"/>
        </w:tabs>
        <w:numPr>
          <w:ilvl w:val="0"/>
          <w:numId w:val="28"/>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23" w:name="page24"/>
    <w:bookmarkEnd w:id="23"/>
    <w:tbl>
      <w:tblPr>
        <w:tblLayout w:type="fixed"/>
        <w:tblInd w:w="120" w:type="dxa"/>
        <w:tblCellMar>
          <w:top w:w="0" w:type="dxa"/>
          <w:left w:w="0" w:type="dxa"/>
          <w:bottom w:w="0" w:type="dxa"/>
          <w:right w:w="0" w:type="dxa"/>
        </w:tblCellMar>
      </w:tblPr>
      <w:tr>
        <w:trPr>
          <w:trHeight w:val="196"/>
        </w:trPr>
        <w:tc>
          <w:tcPr>
            <w:tcW w:w="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3"/>
          </w:tcPr>
          <w:p>
            <w:pPr>
              <w:ind w:left="580"/>
              <w:spacing w:after="0"/>
              <w:rPr>
                <w:sz w:val="20"/>
                <w:szCs w:val="20"/>
                <w:color w:val="auto"/>
              </w:rPr>
            </w:pPr>
            <w:r>
              <w:rPr>
                <w:rFonts w:ascii="Arial" w:cs="Arial" w:eastAsia="Arial" w:hAnsi="Arial"/>
                <w:sz w:val="14"/>
                <w:szCs w:val="14"/>
                <w:b w:val="1"/>
                <w:bCs w:val="1"/>
                <w:color w:val="431C5B"/>
              </w:rPr>
              <w:t>Proposal 1: Election of Directors</w:t>
            </w:r>
          </w:p>
        </w:tc>
        <w:tc>
          <w:tcPr>
            <w:tcW w:w="0" w:type="dxa"/>
            <w:vAlign w:val="bottom"/>
          </w:tcPr>
          <w:p>
            <w:pPr>
              <w:spacing w:after="0"/>
              <w:rPr>
                <w:sz w:val="1"/>
                <w:szCs w:val="1"/>
                <w:color w:val="auto"/>
              </w:rPr>
            </w:pPr>
          </w:p>
        </w:tc>
      </w:tr>
      <w:tr>
        <w:trPr>
          <w:trHeight w:val="938"/>
        </w:trPr>
        <w:tc>
          <w:tcPr>
            <w:tcW w:w="820" w:type="dxa"/>
            <w:vAlign w:val="bottom"/>
          </w:tcPr>
          <w:p>
            <w:pPr>
              <w:spacing w:after="0"/>
              <w:rPr>
                <w:sz w:val="24"/>
                <w:szCs w:val="24"/>
                <w:color w:val="auto"/>
              </w:rPr>
            </w:pPr>
          </w:p>
        </w:tc>
        <w:tc>
          <w:tcPr>
            <w:tcW w:w="4760" w:type="dxa"/>
            <w:vAlign w:val="bottom"/>
            <w:gridSpan w:val="3"/>
          </w:tcPr>
          <w:p>
            <w:pPr>
              <w:ind w:left="1420"/>
              <w:spacing w:after="0"/>
              <w:rPr>
                <w:sz w:val="20"/>
                <w:szCs w:val="20"/>
                <w:color w:val="auto"/>
              </w:rPr>
            </w:pPr>
            <w:r>
              <w:rPr>
                <w:rFonts w:ascii="Arial" w:cs="Arial" w:eastAsia="Arial" w:hAnsi="Arial"/>
                <w:sz w:val="27"/>
                <w:szCs w:val="27"/>
                <w:b w:val="1"/>
                <w:bCs w:val="1"/>
                <w:color w:val="431C5B"/>
              </w:rPr>
              <w:t>Nicole M. Anasenes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880" w:type="dxa"/>
            <w:vAlign w:val="bottom"/>
            <w:gridSpan w:val="2"/>
          </w:tcPr>
          <w:p>
            <w:pPr>
              <w:ind w:left="1420"/>
              <w:spacing w:after="0"/>
              <w:rPr>
                <w:sz w:val="20"/>
                <w:szCs w:val="20"/>
                <w:color w:val="auto"/>
              </w:rPr>
            </w:pPr>
            <w:r>
              <w:rPr>
                <w:rFonts w:ascii="Arial" w:cs="Arial" w:eastAsia="Arial" w:hAnsi="Arial"/>
                <w:sz w:val="14"/>
                <w:szCs w:val="14"/>
                <w:b w:val="1"/>
                <w:bCs w:val="1"/>
                <w:color w:val="431C5B"/>
              </w:rPr>
              <w:t>Independent Director</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4760" w:type="dxa"/>
            <w:vAlign w:val="bottom"/>
            <w:gridSpan w:val="3"/>
          </w:tcPr>
          <w:p>
            <w:pPr>
              <w:ind w:left="1420"/>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auto"/>
              </w:rPr>
              <w:t>52</w:t>
            </w:r>
            <w:r>
              <w:rPr>
                <w:rFonts w:ascii="Arial" w:cs="Arial" w:eastAsia="Arial" w:hAnsi="Arial"/>
                <w:sz w:val="14"/>
                <w:szCs w:val="14"/>
                <w:color w:val="auto"/>
              </w:rPr>
              <w:t xml:space="preserve"> | Director since: </w:t>
            </w:r>
            <w:r>
              <w:rPr>
                <w:rFonts w:ascii="Arial" w:cs="Arial" w:eastAsia="Arial" w:hAnsi="Arial"/>
                <w:sz w:val="14"/>
                <w:szCs w:val="14"/>
                <w:b w:val="1"/>
                <w:bCs w:val="1"/>
                <w:color w:val="auto"/>
              </w:rPr>
              <w:t>2024</w:t>
            </w:r>
          </w:p>
        </w:tc>
        <w:tc>
          <w:tcPr>
            <w:tcW w:w="3180" w:type="dxa"/>
            <w:vAlign w:val="bottom"/>
            <w:gridSpan w:val="4"/>
          </w:tcPr>
          <w:p>
            <w:pPr>
              <w:ind w:left="40"/>
              <w:spacing w:after="0"/>
              <w:rPr>
                <w:sz w:val="20"/>
                <w:szCs w:val="20"/>
                <w:color w:val="auto"/>
              </w:rPr>
            </w:pPr>
            <w:r>
              <w:rPr>
                <w:rFonts w:ascii="Arial" w:cs="Arial" w:eastAsia="Arial" w:hAnsi="Arial"/>
                <w:sz w:val="14"/>
                <w:szCs w:val="14"/>
                <w:color w:val="auto"/>
              </w:rPr>
              <w:t xml:space="preserve">Committee Member: </w:t>
            </w:r>
            <w:r>
              <w:rPr>
                <w:rFonts w:ascii="Arial" w:cs="Arial" w:eastAsia="Arial" w:hAnsi="Arial"/>
                <w:sz w:val="14"/>
                <w:szCs w:val="14"/>
                <w:b w:val="1"/>
                <w:bCs w:val="1"/>
                <w:color w:val="auto"/>
              </w:rPr>
              <w:t>Executive, Risk</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760" w:type="dxa"/>
            <w:vAlign w:val="bottom"/>
            <w:gridSpan w:val="3"/>
            <w:vMerge w:val="restart"/>
          </w:tcPr>
          <w:p>
            <w:pPr>
              <w:ind w:left="1420"/>
              <w:spacing w:after="0"/>
              <w:rPr>
                <w:sz w:val="20"/>
                <w:szCs w:val="20"/>
                <w:color w:val="auto"/>
              </w:rPr>
            </w:pPr>
            <w:r>
              <w:rPr>
                <w:rFonts w:ascii="Arial" w:cs="Arial" w:eastAsia="Arial" w:hAnsi="Arial"/>
                <w:sz w:val="14"/>
                <w:szCs w:val="14"/>
                <w:color w:val="auto"/>
              </w:rPr>
              <w:t xml:space="preserve">Committee Chair: </w:t>
            </w:r>
            <w:r>
              <w:rPr>
                <w:rFonts w:ascii="Arial" w:cs="Arial" w:eastAsia="Arial" w:hAnsi="Arial"/>
                <w:sz w:val="14"/>
                <w:szCs w:val="14"/>
                <w:b w:val="1"/>
                <w:bCs w:val="1"/>
                <w:color w:val="auto"/>
              </w:rPr>
              <w:t>Audit</w:t>
            </w:r>
          </w:p>
        </w:tc>
        <w:tc>
          <w:tcPr>
            <w:tcW w:w="3180" w:type="dxa"/>
            <w:vAlign w:val="bottom"/>
            <w:gridSpan w:val="4"/>
          </w:tcPr>
          <w:p>
            <w:pPr>
              <w:ind w:left="40"/>
              <w:spacing w:after="0"/>
              <w:rPr>
                <w:sz w:val="20"/>
                <w:szCs w:val="20"/>
                <w:color w:val="auto"/>
              </w:rPr>
            </w:pPr>
            <w:r>
              <w:rPr>
                <w:rFonts w:ascii="Arial" w:cs="Arial" w:eastAsia="Arial" w:hAnsi="Arial"/>
                <w:sz w:val="14"/>
                <w:szCs w:val="14"/>
                <w:b w:val="1"/>
                <w:bCs w:val="1"/>
                <w:color w:val="auto"/>
              </w:rPr>
              <w:t>and Technology</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760" w:type="dxa"/>
            <w:vAlign w:val="bottom"/>
            <w:gridSpan w:val="3"/>
            <w:vMerge w:val="continue"/>
          </w:tcPr>
          <w:p>
            <w:pPr>
              <w:spacing w:after="0"/>
              <w:rPr>
                <w:sz w:val="9"/>
                <w:szCs w:val="9"/>
                <w:color w:val="auto"/>
              </w:rPr>
            </w:pPr>
          </w:p>
        </w:tc>
        <w:tc>
          <w:tcPr>
            <w:tcW w:w="3180" w:type="dxa"/>
            <w:vAlign w:val="bottom"/>
            <w:gridSpan w:val="4"/>
            <w:vMerge w:val="restart"/>
          </w:tcPr>
          <w:p>
            <w:pPr>
              <w:ind w:left="40"/>
              <w:spacing w:after="0"/>
              <w:rPr>
                <w:sz w:val="20"/>
                <w:szCs w:val="20"/>
                <w:color w:val="auto"/>
              </w:rPr>
            </w:pPr>
            <w:r>
              <w:rPr>
                <w:rFonts w:ascii="Arial" w:cs="Arial" w:eastAsia="Arial" w:hAnsi="Arial"/>
                <w:sz w:val="14"/>
                <w:szCs w:val="14"/>
                <w:color w:val="auto"/>
              </w:rPr>
              <w:t xml:space="preserve">Other Current Public Company Boards: </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1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8"/>
        </w:trPr>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00" w:type="dxa"/>
            <w:vAlign w:val="bottom"/>
            <w:gridSpan w:val="3"/>
            <w:shd w:val="clear" w:color="auto" w:fill="ECE8EF"/>
          </w:tcPr>
          <w:p>
            <w:pPr>
              <w:ind w:left="240"/>
              <w:spacing w:after="0"/>
              <w:rPr>
                <w:sz w:val="20"/>
                <w:szCs w:val="20"/>
                <w:color w:val="auto"/>
              </w:rPr>
            </w:pPr>
            <w:r>
              <w:rPr>
                <w:rFonts w:ascii="Arial" w:cs="Arial" w:eastAsia="Arial" w:hAnsi="Arial"/>
                <w:sz w:val="18"/>
                <w:szCs w:val="18"/>
                <w:b w:val="1"/>
                <w:bCs w:val="1"/>
                <w:color w:val="431C5B"/>
              </w:rPr>
              <w:t>Skills and Qualifications</w:t>
            </w:r>
          </w:p>
        </w:tc>
        <w:tc>
          <w:tcPr>
            <w:tcW w:w="1880" w:type="dxa"/>
            <w:vAlign w:val="bottom"/>
            <w:shd w:val="clear" w:color="auto" w:fill="ECE8EF"/>
          </w:tcPr>
          <w:p>
            <w:pPr>
              <w:spacing w:after="0"/>
              <w:rPr>
                <w:sz w:val="24"/>
                <w:szCs w:val="24"/>
                <w:color w:val="auto"/>
              </w:rPr>
            </w:pPr>
          </w:p>
        </w:tc>
        <w:tc>
          <w:tcPr>
            <w:tcW w:w="3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Executive Leadership</w:t>
            </w:r>
          </w:p>
        </w:tc>
        <w:tc>
          <w:tcPr>
            <w:tcW w:w="660" w:type="dxa"/>
            <w:vAlign w:val="bottom"/>
            <w:shd w:val="clear" w:color="auto" w:fill="ECE8EF"/>
          </w:tcPr>
          <w:p>
            <w:pPr>
              <w:spacing w:after="0"/>
              <w:rPr>
                <w:sz w:val="24"/>
                <w:szCs w:val="24"/>
                <w:color w:val="auto"/>
              </w:rPr>
            </w:pPr>
          </w:p>
        </w:tc>
        <w:tc>
          <w:tcPr>
            <w:tcW w:w="1880" w:type="dxa"/>
            <w:vAlign w:val="bottom"/>
            <w:shd w:val="clear" w:color="auto" w:fill="ECE8EF"/>
          </w:tcPr>
          <w:p>
            <w:pPr>
              <w:ind w:left="20"/>
              <w:spacing w:after="0"/>
              <w:rPr>
                <w:sz w:val="20"/>
                <w:szCs w:val="20"/>
                <w:color w:val="auto"/>
              </w:rPr>
            </w:pPr>
            <w:r>
              <w:rPr>
                <w:rFonts w:ascii="Arial" w:cs="Arial" w:eastAsia="Arial" w:hAnsi="Arial"/>
                <w:sz w:val="14"/>
                <w:szCs w:val="14"/>
                <w:color w:val="auto"/>
              </w:rPr>
              <w:t>Global Business Experience</w:t>
            </w:r>
          </w:p>
        </w:tc>
        <w:tc>
          <w:tcPr>
            <w:tcW w:w="3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Financial Expertise</w:t>
            </w:r>
          </w:p>
        </w:tc>
        <w:tc>
          <w:tcPr>
            <w:tcW w:w="0" w:type="dxa"/>
            <w:vAlign w:val="bottom"/>
          </w:tcPr>
          <w:p>
            <w:pPr>
              <w:spacing w:after="0"/>
              <w:rPr>
                <w:sz w:val="1"/>
                <w:szCs w:val="1"/>
                <w:color w:val="auto"/>
              </w:rPr>
            </w:pPr>
          </w:p>
        </w:tc>
      </w:tr>
      <w:tr>
        <w:trPr>
          <w:trHeight w:val="444"/>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Public Company</w:t>
            </w:r>
          </w:p>
        </w:tc>
        <w:tc>
          <w:tcPr>
            <w:tcW w:w="660" w:type="dxa"/>
            <w:vAlign w:val="bottom"/>
            <w:shd w:val="clear" w:color="auto" w:fill="ECE8EF"/>
          </w:tcPr>
          <w:p>
            <w:pPr>
              <w:spacing w:after="0"/>
              <w:rPr>
                <w:sz w:val="24"/>
                <w:szCs w:val="24"/>
                <w:color w:val="auto"/>
              </w:rPr>
            </w:pPr>
          </w:p>
        </w:tc>
        <w:tc>
          <w:tcPr>
            <w:tcW w:w="1880" w:type="dxa"/>
            <w:vAlign w:val="bottom"/>
            <w:vMerge w:val="restart"/>
            <w:shd w:val="clear" w:color="auto" w:fill="ECE8EF"/>
          </w:tcPr>
          <w:p>
            <w:pPr>
              <w:ind w:left="20"/>
              <w:spacing w:after="0"/>
              <w:rPr>
                <w:sz w:val="20"/>
                <w:szCs w:val="20"/>
                <w:color w:val="auto"/>
              </w:rPr>
            </w:pPr>
            <w:r>
              <w:rPr>
                <w:rFonts w:ascii="Arial" w:cs="Arial" w:eastAsia="Arial" w:hAnsi="Arial"/>
                <w:sz w:val="14"/>
                <w:szCs w:val="14"/>
                <w:color w:val="auto"/>
              </w:rPr>
              <w:t>Human Capital Management</w:t>
            </w:r>
          </w:p>
        </w:tc>
        <w:tc>
          <w:tcPr>
            <w:tcW w:w="3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Enterprise Risk Management/</w:t>
            </w:r>
          </w:p>
        </w:tc>
        <w:tc>
          <w:tcPr>
            <w:tcW w:w="0" w:type="dxa"/>
            <w:vAlign w:val="bottom"/>
          </w:tcPr>
          <w:p>
            <w:pPr>
              <w:spacing w:after="0"/>
              <w:rPr>
                <w:sz w:val="1"/>
                <w:szCs w:val="1"/>
                <w:color w:val="auto"/>
              </w:rPr>
            </w:pPr>
          </w:p>
        </w:tc>
      </w:tr>
      <w:tr>
        <w:trPr>
          <w:trHeight w:val="96"/>
        </w:trPr>
        <w:tc>
          <w:tcPr>
            <w:tcW w:w="82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Board Experience</w:t>
            </w:r>
          </w:p>
        </w:tc>
        <w:tc>
          <w:tcPr>
            <w:tcW w:w="660" w:type="dxa"/>
            <w:vAlign w:val="bottom"/>
            <w:shd w:val="clear" w:color="auto" w:fill="ECE8EF"/>
          </w:tcPr>
          <w:p>
            <w:pPr>
              <w:spacing w:after="0"/>
              <w:rPr>
                <w:sz w:val="8"/>
                <w:szCs w:val="8"/>
                <w:color w:val="auto"/>
              </w:rPr>
            </w:pPr>
          </w:p>
        </w:tc>
        <w:tc>
          <w:tcPr>
            <w:tcW w:w="1880" w:type="dxa"/>
            <w:vAlign w:val="bottom"/>
            <w:vMerge w:val="continue"/>
            <w:shd w:val="clear" w:color="auto" w:fill="ECE8EF"/>
          </w:tcPr>
          <w:p>
            <w:pPr>
              <w:spacing w:after="0"/>
              <w:rPr>
                <w:sz w:val="8"/>
                <w:szCs w:val="8"/>
                <w:color w:val="auto"/>
              </w:rPr>
            </w:pPr>
          </w:p>
        </w:tc>
        <w:tc>
          <w:tcPr>
            <w:tcW w:w="3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restart"/>
            <w:shd w:val="clear" w:color="auto" w:fill="ECE8EF"/>
          </w:tcPr>
          <w:p>
            <w:pPr>
              <w:ind w:left="60"/>
              <w:spacing w:after="0"/>
              <w:rPr>
                <w:sz w:val="20"/>
                <w:szCs w:val="20"/>
                <w:color w:val="auto"/>
              </w:rPr>
            </w:pPr>
            <w:r>
              <w:rPr>
                <w:rFonts w:ascii="Arial" w:cs="Arial" w:eastAsia="Arial" w:hAnsi="Arial"/>
                <w:sz w:val="14"/>
                <w:szCs w:val="14"/>
                <w:color w:val="auto"/>
              </w:rPr>
              <w:t>Information Security</w:t>
            </w:r>
          </w:p>
        </w:tc>
        <w:tc>
          <w:tcPr>
            <w:tcW w:w="0" w:type="dxa"/>
            <w:vAlign w:val="bottom"/>
          </w:tcPr>
          <w:p>
            <w:pPr>
              <w:spacing w:after="0"/>
              <w:rPr>
                <w:sz w:val="1"/>
                <w:szCs w:val="1"/>
                <w:color w:val="auto"/>
              </w:rPr>
            </w:pPr>
          </w:p>
        </w:tc>
      </w:tr>
      <w:tr>
        <w:trPr>
          <w:trHeight w:val="94"/>
        </w:trPr>
        <w:tc>
          <w:tcPr>
            <w:tcW w:w="82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60" w:type="dxa"/>
            <w:vAlign w:val="bottom"/>
            <w:shd w:val="clear" w:color="auto" w:fill="ECE8EF"/>
          </w:tcPr>
          <w:p>
            <w:pPr>
              <w:spacing w:after="0"/>
              <w:rPr>
                <w:sz w:val="8"/>
                <w:szCs w:val="8"/>
                <w:color w:val="auto"/>
              </w:rPr>
            </w:pPr>
          </w:p>
        </w:tc>
        <w:tc>
          <w:tcPr>
            <w:tcW w:w="1880" w:type="dxa"/>
            <w:vAlign w:val="bottom"/>
            <w:shd w:val="clear" w:color="auto" w:fill="ECE8EF"/>
          </w:tcPr>
          <w:p>
            <w:pPr>
              <w:spacing w:after="0"/>
              <w:rPr>
                <w:sz w:val="8"/>
                <w:szCs w:val="8"/>
                <w:color w:val="auto"/>
              </w:rPr>
            </w:pPr>
          </w:p>
        </w:tc>
        <w:tc>
          <w:tcPr>
            <w:tcW w:w="3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continue"/>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Mergers and Acquisitions/</w:t>
            </w:r>
          </w:p>
        </w:tc>
        <w:tc>
          <w:tcPr>
            <w:tcW w:w="660" w:type="dxa"/>
            <w:vAlign w:val="bottom"/>
            <w:shd w:val="clear" w:color="auto" w:fill="ECE8EF"/>
          </w:tcPr>
          <w:p>
            <w:pPr>
              <w:spacing w:after="0"/>
              <w:rPr>
                <w:sz w:val="24"/>
                <w:szCs w:val="24"/>
                <w:color w:val="auto"/>
              </w:rPr>
            </w:pPr>
          </w:p>
        </w:tc>
        <w:tc>
          <w:tcPr>
            <w:tcW w:w="1880" w:type="dxa"/>
            <w:vAlign w:val="bottom"/>
            <w:vMerge w:val="restart"/>
            <w:shd w:val="clear" w:color="auto" w:fill="ECE8EF"/>
          </w:tcPr>
          <w:p>
            <w:pPr>
              <w:ind w:left="20"/>
              <w:spacing w:after="0"/>
              <w:rPr>
                <w:sz w:val="20"/>
                <w:szCs w:val="20"/>
                <w:color w:val="auto"/>
              </w:rPr>
            </w:pPr>
            <w:r>
              <w:rPr>
                <w:rFonts w:ascii="Arial" w:cs="Arial" w:eastAsia="Arial" w:hAnsi="Arial"/>
                <w:sz w:val="14"/>
                <w:szCs w:val="14"/>
                <w:color w:val="auto"/>
              </w:rPr>
              <w:t>Sustainability</w:t>
            </w:r>
          </w:p>
        </w:tc>
        <w:tc>
          <w:tcPr>
            <w:tcW w:w="3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000" w:type="dxa"/>
            <w:vAlign w:val="bottom"/>
            <w:vMerge w:val="restart"/>
            <w:shd w:val="clear" w:color="auto" w:fill="ECE8EF"/>
          </w:tcPr>
          <w:p>
            <w:pPr>
              <w:ind w:left="60"/>
              <w:spacing w:after="0"/>
              <w:rPr>
                <w:sz w:val="20"/>
                <w:szCs w:val="20"/>
                <w:color w:val="auto"/>
              </w:rPr>
            </w:pPr>
            <w:r>
              <w:rPr>
                <w:rFonts w:ascii="Arial" w:cs="Arial" w:eastAsia="Arial" w:hAnsi="Arial"/>
                <w:sz w:val="14"/>
                <w:szCs w:val="14"/>
                <w:color w:val="auto"/>
              </w:rPr>
              <w:t>Technology</w:t>
            </w: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2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Capital Allocation</w:t>
            </w:r>
          </w:p>
        </w:tc>
        <w:tc>
          <w:tcPr>
            <w:tcW w:w="660" w:type="dxa"/>
            <w:vAlign w:val="bottom"/>
            <w:shd w:val="clear" w:color="auto" w:fill="ECE8EF"/>
          </w:tcPr>
          <w:p>
            <w:pPr>
              <w:spacing w:after="0"/>
              <w:rPr>
                <w:sz w:val="8"/>
                <w:szCs w:val="8"/>
                <w:color w:val="auto"/>
              </w:rPr>
            </w:pPr>
          </w:p>
        </w:tc>
        <w:tc>
          <w:tcPr>
            <w:tcW w:w="1880" w:type="dxa"/>
            <w:vAlign w:val="bottom"/>
            <w:vMerge w:val="continue"/>
            <w:shd w:val="clear" w:color="auto" w:fill="ECE8EF"/>
          </w:tcPr>
          <w:p>
            <w:pPr>
              <w:spacing w:after="0"/>
              <w:rPr>
                <w:sz w:val="8"/>
                <w:szCs w:val="8"/>
                <w:color w:val="auto"/>
              </w:rPr>
            </w:pPr>
          </w:p>
        </w:tc>
        <w:tc>
          <w:tcPr>
            <w:tcW w:w="3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vMerge w:val="continue"/>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2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60" w:type="dxa"/>
            <w:vAlign w:val="bottom"/>
            <w:shd w:val="clear" w:color="auto" w:fill="ECE8EF"/>
          </w:tcPr>
          <w:p>
            <w:pPr>
              <w:spacing w:after="0"/>
              <w:rPr>
                <w:sz w:val="8"/>
                <w:szCs w:val="8"/>
                <w:color w:val="auto"/>
              </w:rPr>
            </w:pPr>
          </w:p>
        </w:tc>
        <w:tc>
          <w:tcPr>
            <w:tcW w:w="1880" w:type="dxa"/>
            <w:vAlign w:val="bottom"/>
            <w:shd w:val="clear" w:color="auto" w:fill="ECE8EF"/>
          </w:tcPr>
          <w:p>
            <w:pPr>
              <w:spacing w:after="0"/>
              <w:rPr>
                <w:sz w:val="8"/>
                <w:szCs w:val="8"/>
                <w:color w:val="auto"/>
              </w:rPr>
            </w:pPr>
          </w:p>
        </w:tc>
        <w:tc>
          <w:tcPr>
            <w:tcW w:w="3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Business Transformation</w:t>
            </w:r>
          </w:p>
        </w:tc>
        <w:tc>
          <w:tcPr>
            <w:tcW w:w="660" w:type="dxa"/>
            <w:vAlign w:val="bottom"/>
            <w:shd w:val="clear" w:color="auto" w:fill="ECE8EF"/>
          </w:tcPr>
          <w:p>
            <w:pPr>
              <w:spacing w:after="0"/>
              <w:rPr>
                <w:sz w:val="24"/>
                <w:szCs w:val="24"/>
                <w:color w:val="auto"/>
              </w:rPr>
            </w:pPr>
          </w:p>
        </w:tc>
        <w:tc>
          <w:tcPr>
            <w:tcW w:w="2240" w:type="dxa"/>
            <w:vAlign w:val="bottom"/>
            <w:gridSpan w:val="2"/>
            <w:shd w:val="clear" w:color="auto" w:fill="ECE8EF"/>
          </w:tcPr>
          <w:p>
            <w:pPr>
              <w:ind w:left="20"/>
              <w:spacing w:after="0"/>
              <w:rPr>
                <w:sz w:val="20"/>
                <w:szCs w:val="20"/>
                <w:color w:val="auto"/>
              </w:rPr>
            </w:pPr>
            <w:r>
              <w:rPr>
                <w:rFonts w:ascii="Arial" w:cs="Arial" w:eastAsia="Arial" w:hAnsi="Arial"/>
                <w:sz w:val="14"/>
                <w:szCs w:val="14"/>
                <w:color w:val="auto"/>
              </w:rPr>
              <w:t>Digital Transformation Experience</w:t>
            </w: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spacing w:after="0"/>
              <w:rPr>
                <w:sz w:val="24"/>
                <w:szCs w:val="24"/>
                <w:color w:val="auto"/>
              </w:rPr>
            </w:pPr>
          </w:p>
        </w:tc>
        <w:tc>
          <w:tcPr>
            <w:tcW w:w="660" w:type="dxa"/>
            <w:vAlign w:val="bottom"/>
            <w:shd w:val="clear" w:color="auto" w:fill="ECE8EF"/>
          </w:tcPr>
          <w:p>
            <w:pPr>
              <w:spacing w:after="0"/>
              <w:rPr>
                <w:sz w:val="24"/>
                <w:szCs w:val="24"/>
                <w:color w:val="auto"/>
              </w:rPr>
            </w:pPr>
          </w:p>
        </w:tc>
        <w:tc>
          <w:tcPr>
            <w:tcW w:w="1880" w:type="dxa"/>
            <w:vAlign w:val="bottom"/>
            <w:shd w:val="clear" w:color="auto" w:fill="ECE8EF"/>
          </w:tcPr>
          <w:p>
            <w:pPr>
              <w:spacing w:after="0"/>
              <w:rPr>
                <w:sz w:val="24"/>
                <w:szCs w:val="24"/>
                <w:color w:val="auto"/>
              </w:rPr>
            </w:pPr>
          </w:p>
        </w:tc>
        <w:tc>
          <w:tcPr>
            <w:tcW w:w="3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b w:val="1"/>
          <w:bCs w:val="1"/>
          <w:color w:val="431C5B"/>
        </w:rPr>
        <w:t>Experience</w:t>
      </w:r>
    </w:p>
    <w:p>
      <w:pPr>
        <w:spacing w:after="0" w:line="127" w:lineRule="exact"/>
        <w:rPr>
          <w:sz w:val="20"/>
          <w:szCs w:val="20"/>
          <w:color w:val="auto"/>
        </w:rPr>
      </w:pPr>
    </w:p>
    <w:p>
      <w:pPr>
        <w:ind w:left="520" w:hanging="196"/>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Chief Financial Officer (2021 – 2024) and Senior Vice President, Finance (2020 – 2024), </w:t>
      </w:r>
      <w:r>
        <w:rPr>
          <w:rFonts w:ascii="Arial" w:cs="Arial" w:eastAsia="Arial" w:hAnsi="Arial"/>
          <w:sz w:val="14"/>
          <w:szCs w:val="14"/>
          <w:b w:val="1"/>
          <w:bCs w:val="1"/>
          <w:color w:val="auto"/>
        </w:rPr>
        <w:t>ANSYS, Inc.</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Chief Financial Officer and Chief Operating Officer, </w:t>
      </w:r>
      <w:r>
        <w:rPr>
          <w:rFonts w:ascii="Arial" w:cs="Arial" w:eastAsia="Arial" w:hAnsi="Arial"/>
          <w:sz w:val="14"/>
          <w:szCs w:val="14"/>
          <w:b w:val="1"/>
          <w:bCs w:val="1"/>
          <w:color w:val="auto"/>
        </w:rPr>
        <w:t>Squarespace, Inc.</w:t>
      </w:r>
      <w:r>
        <w:rPr>
          <w:rFonts w:ascii="Arial" w:cs="Arial" w:eastAsia="Arial" w:hAnsi="Arial"/>
          <w:sz w:val="14"/>
          <w:szCs w:val="14"/>
          <w:color w:val="auto"/>
        </w:rPr>
        <w:t xml:space="preserve"> (2016 – 2020)</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Chief Financial Officer, </w:t>
      </w:r>
      <w:r>
        <w:rPr>
          <w:rFonts w:ascii="Arial" w:cs="Arial" w:eastAsia="Arial" w:hAnsi="Arial"/>
          <w:sz w:val="14"/>
          <w:szCs w:val="14"/>
          <w:b w:val="1"/>
          <w:bCs w:val="1"/>
          <w:color w:val="auto"/>
        </w:rPr>
        <w:t>Infor</w:t>
      </w:r>
      <w:r>
        <w:rPr>
          <w:rFonts w:ascii="Arial" w:cs="Arial" w:eastAsia="Arial" w:hAnsi="Arial"/>
          <w:sz w:val="14"/>
          <w:szCs w:val="14"/>
          <w:color w:val="auto"/>
        </w:rPr>
        <w:t xml:space="preserve"> (2013 – 2015)</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Served in various leadership roles at IBM</w:t>
      </w:r>
    </w:p>
    <w:p>
      <w:pPr>
        <w:spacing w:after="0" w:line="369" w:lineRule="exact"/>
        <w:rPr>
          <w:sz w:val="20"/>
          <w:szCs w:val="20"/>
          <w:color w:val="auto"/>
        </w:rPr>
      </w:pPr>
    </w:p>
    <w:tbl>
      <w:tblPr>
        <w:tblLayout w:type="fixed"/>
        <w:tblInd w:w="320" w:type="dxa"/>
        <w:tblCellMar>
          <w:top w:w="0" w:type="dxa"/>
          <w:left w:w="0" w:type="dxa"/>
          <w:bottom w:w="0" w:type="dxa"/>
          <w:right w:w="0" w:type="dxa"/>
        </w:tblCellMar>
      </w:tblPr>
      <w:tr>
        <w:trPr>
          <w:trHeight w:val="247"/>
        </w:trPr>
        <w:tc>
          <w:tcPr>
            <w:tcW w:w="3920" w:type="dxa"/>
            <w:vAlign w:val="bottom"/>
          </w:tcPr>
          <w:p>
            <w:pPr>
              <w:spacing w:after="0"/>
              <w:rPr>
                <w:sz w:val="20"/>
                <w:szCs w:val="20"/>
                <w:color w:val="auto"/>
              </w:rPr>
            </w:pPr>
            <w:r>
              <w:rPr>
                <w:rFonts w:ascii="Arial" w:cs="Arial" w:eastAsia="Arial" w:hAnsi="Arial"/>
                <w:sz w:val="18"/>
                <w:szCs w:val="18"/>
                <w:b w:val="1"/>
                <w:bCs w:val="1"/>
                <w:color w:val="431C5B"/>
              </w:rPr>
              <w:t>Other Public Company Boards (Current)</w:t>
            </w:r>
          </w:p>
        </w:tc>
        <w:tc>
          <w:tcPr>
            <w:tcW w:w="4300" w:type="dxa"/>
            <w:vAlign w:val="bottom"/>
          </w:tcPr>
          <w:p>
            <w:pPr>
              <w:ind w:left="500"/>
              <w:spacing w:after="0"/>
              <w:rPr>
                <w:sz w:val="20"/>
                <w:szCs w:val="20"/>
                <w:color w:val="auto"/>
              </w:rPr>
            </w:pPr>
            <w:r>
              <w:rPr>
                <w:rFonts w:ascii="Arial" w:cs="Arial" w:eastAsia="Arial" w:hAnsi="Arial"/>
                <w:sz w:val="18"/>
                <w:szCs w:val="18"/>
                <w:b w:val="1"/>
                <w:bCs w:val="1"/>
                <w:color w:val="431C5B"/>
              </w:rPr>
              <w:t>Education</w:t>
            </w:r>
          </w:p>
        </w:tc>
        <w:tc>
          <w:tcPr>
            <w:tcW w:w="0" w:type="dxa"/>
            <w:vAlign w:val="bottom"/>
          </w:tcPr>
          <w:p>
            <w:pPr>
              <w:spacing w:after="0"/>
              <w:rPr>
                <w:sz w:val="1"/>
                <w:szCs w:val="1"/>
                <w:color w:val="auto"/>
              </w:rPr>
            </w:pPr>
          </w:p>
        </w:tc>
      </w:tr>
      <w:tr>
        <w:trPr>
          <w:trHeight w:val="276"/>
        </w:trPr>
        <w:tc>
          <w:tcPr>
            <w:tcW w:w="3920" w:type="dxa"/>
            <w:vAlign w:val="bottom"/>
          </w:tcPr>
          <w:p>
            <w:pPr>
              <w:spacing w:after="0"/>
              <w:rPr>
                <w:sz w:val="20"/>
                <w:szCs w:val="20"/>
                <w:color w:val="auto"/>
              </w:rPr>
            </w:pPr>
            <w:r>
              <w:rPr>
                <w:rFonts w:ascii="Arial" w:cs="Arial" w:eastAsia="Arial" w:hAnsi="Arial"/>
                <w:sz w:val="14"/>
                <w:szCs w:val="14"/>
                <w:color w:val="auto"/>
              </w:rPr>
              <w:t>•  Motorola Solutions, Inc. (2024 – present)</w:t>
            </w:r>
          </w:p>
        </w:tc>
        <w:tc>
          <w:tcPr>
            <w:tcW w:w="4300" w:type="dxa"/>
            <w:vAlign w:val="bottom"/>
          </w:tcPr>
          <w:p>
            <w:pPr>
              <w:ind w:left="500"/>
              <w:spacing w:after="0"/>
              <w:rPr>
                <w:sz w:val="20"/>
                <w:szCs w:val="20"/>
                <w:color w:val="auto"/>
              </w:rPr>
            </w:pPr>
            <w:r>
              <w:rPr>
                <w:rFonts w:ascii="Arial" w:cs="Arial" w:eastAsia="Arial" w:hAnsi="Arial"/>
                <w:sz w:val="14"/>
                <w:szCs w:val="14"/>
                <w:color w:val="auto"/>
              </w:rPr>
              <w:t>•  BS, Economics, New York University – Leonard N. Stern</w:t>
            </w:r>
          </w:p>
        </w:tc>
        <w:tc>
          <w:tcPr>
            <w:tcW w:w="0" w:type="dxa"/>
            <w:vAlign w:val="bottom"/>
          </w:tcPr>
          <w:p>
            <w:pPr>
              <w:spacing w:after="0"/>
              <w:rPr>
                <w:sz w:val="1"/>
                <w:szCs w:val="1"/>
                <w:color w:val="auto"/>
              </w:rPr>
            </w:pPr>
          </w:p>
        </w:tc>
      </w:tr>
      <w:tr>
        <w:trPr>
          <w:trHeight w:val="19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431C5B"/>
              </w:rPr>
              <w:t>Other Public Company Boards (Former)</w:t>
            </w:r>
          </w:p>
        </w:tc>
        <w:tc>
          <w:tcPr>
            <w:tcW w:w="4300" w:type="dxa"/>
            <w:vAlign w:val="bottom"/>
          </w:tcPr>
          <w:p>
            <w:pPr>
              <w:ind w:left="700"/>
              <w:spacing w:after="0"/>
              <w:rPr>
                <w:sz w:val="20"/>
                <w:szCs w:val="20"/>
                <w:color w:val="auto"/>
              </w:rPr>
            </w:pPr>
            <w:r>
              <w:rPr>
                <w:rFonts w:ascii="Arial" w:cs="Arial" w:eastAsia="Arial" w:hAnsi="Arial"/>
                <w:sz w:val="14"/>
                <w:szCs w:val="14"/>
                <w:color w:val="auto"/>
              </w:rPr>
              <w:t>School of Business</w:t>
            </w:r>
          </w:p>
        </w:tc>
        <w:tc>
          <w:tcPr>
            <w:tcW w:w="0" w:type="dxa"/>
            <w:vAlign w:val="bottom"/>
          </w:tcPr>
          <w:p>
            <w:pPr>
              <w:spacing w:after="0"/>
              <w:rPr>
                <w:sz w:val="1"/>
                <w:szCs w:val="1"/>
                <w:color w:val="auto"/>
              </w:rPr>
            </w:pPr>
          </w:p>
        </w:tc>
      </w:tr>
      <w:tr>
        <w:trPr>
          <w:trHeight w:val="242"/>
        </w:trPr>
        <w:tc>
          <w:tcPr>
            <w:tcW w:w="3920" w:type="dxa"/>
            <w:vAlign w:val="bottom"/>
            <w:vMerge w:val="continue"/>
          </w:tcPr>
          <w:p>
            <w:pPr>
              <w:spacing w:after="0"/>
              <w:rPr>
                <w:sz w:val="21"/>
                <w:szCs w:val="21"/>
                <w:color w:val="auto"/>
              </w:rPr>
            </w:pPr>
          </w:p>
        </w:tc>
        <w:tc>
          <w:tcPr>
            <w:tcW w:w="4300" w:type="dxa"/>
            <w:vAlign w:val="bottom"/>
          </w:tcPr>
          <w:p>
            <w:pPr>
              <w:ind w:left="500"/>
              <w:spacing w:after="0"/>
              <w:rPr>
                <w:sz w:val="20"/>
                <w:szCs w:val="20"/>
                <w:color w:val="auto"/>
              </w:rPr>
            </w:pPr>
            <w:r>
              <w:rPr>
                <w:rFonts w:ascii="Arial" w:cs="Arial" w:eastAsia="Arial" w:hAnsi="Arial"/>
                <w:sz w:val="14"/>
                <w:szCs w:val="14"/>
                <w:color w:val="auto"/>
              </w:rPr>
              <w:t>•  MBA, Strategic Management, Wharton School of the</w:t>
            </w:r>
          </w:p>
        </w:tc>
        <w:tc>
          <w:tcPr>
            <w:tcW w:w="0" w:type="dxa"/>
            <w:vAlign w:val="bottom"/>
          </w:tcPr>
          <w:p>
            <w:pPr>
              <w:spacing w:after="0"/>
              <w:rPr>
                <w:sz w:val="1"/>
                <w:szCs w:val="1"/>
                <w:color w:val="auto"/>
              </w:rPr>
            </w:pPr>
          </w:p>
        </w:tc>
      </w:tr>
      <w:tr>
        <w:trPr>
          <w:trHeight w:val="190"/>
        </w:trPr>
        <w:tc>
          <w:tcPr>
            <w:tcW w:w="3920" w:type="dxa"/>
            <w:vAlign w:val="bottom"/>
            <w:vMerge w:val="restart"/>
          </w:tcPr>
          <w:p>
            <w:pPr>
              <w:spacing w:after="0"/>
              <w:rPr>
                <w:sz w:val="20"/>
                <w:szCs w:val="20"/>
                <w:color w:val="auto"/>
              </w:rPr>
            </w:pPr>
            <w:r>
              <w:rPr>
                <w:rFonts w:ascii="Arial" w:cs="Arial" w:eastAsia="Arial" w:hAnsi="Arial"/>
                <w:sz w:val="14"/>
                <w:szCs w:val="14"/>
                <w:color w:val="auto"/>
              </w:rPr>
              <w:t>•  ANSYS, Inc. (2018 – 2020)</w:t>
            </w:r>
          </w:p>
        </w:tc>
        <w:tc>
          <w:tcPr>
            <w:tcW w:w="4300" w:type="dxa"/>
            <w:vAlign w:val="bottom"/>
          </w:tcPr>
          <w:p>
            <w:pPr>
              <w:ind w:left="700"/>
              <w:spacing w:after="0"/>
              <w:rPr>
                <w:sz w:val="20"/>
                <w:szCs w:val="20"/>
                <w:color w:val="auto"/>
              </w:rPr>
            </w:pPr>
            <w:r>
              <w:rPr>
                <w:rFonts w:ascii="Arial" w:cs="Arial" w:eastAsia="Arial" w:hAnsi="Arial"/>
                <w:sz w:val="14"/>
                <w:szCs w:val="14"/>
                <w:color w:val="auto"/>
              </w:rPr>
              <w:t>University of Pennsylvania</w:t>
            </w:r>
          </w:p>
        </w:tc>
        <w:tc>
          <w:tcPr>
            <w:tcW w:w="0" w:type="dxa"/>
            <w:vAlign w:val="bottom"/>
          </w:tcPr>
          <w:p>
            <w:pPr>
              <w:spacing w:after="0"/>
              <w:rPr>
                <w:sz w:val="1"/>
                <w:szCs w:val="1"/>
                <w:color w:val="auto"/>
              </w:rPr>
            </w:pPr>
          </w:p>
        </w:tc>
      </w:tr>
      <w:tr>
        <w:trPr>
          <w:trHeight w:val="54"/>
        </w:trPr>
        <w:tc>
          <w:tcPr>
            <w:tcW w:w="3920" w:type="dxa"/>
            <w:vAlign w:val="bottom"/>
            <w:vMerge w:val="continue"/>
          </w:tcPr>
          <w:p>
            <w:pPr>
              <w:spacing w:after="0"/>
              <w:rPr>
                <w:sz w:val="4"/>
                <w:szCs w:val="4"/>
                <w:color w:val="auto"/>
              </w:rPr>
            </w:pPr>
          </w:p>
        </w:tc>
        <w:tc>
          <w:tcPr>
            <w:tcW w:w="4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4"/>
                <w:szCs w:val="14"/>
                <w:color w:val="auto"/>
              </w:rPr>
              <w:t>•  VMware, Inc. (2022 – 2023)</w:t>
            </w:r>
          </w:p>
        </w:tc>
        <w:tc>
          <w:tcPr>
            <w:tcW w:w="4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21</w:t>
      </w:r>
    </w:p>
    <w:p>
      <w:pPr>
        <w:sectPr>
          <w:pgSz w:w="11900" w:h="16838" w:orient="portrait"/>
          <w:cols w:equalWidth="0" w:num="1">
            <w:col w:w="9019"/>
          </w:cols>
          <w:pgMar w:left="1440" w:top="657" w:right="1440" w:bottom="1440" w:gutter="0" w:footer="0" w:header="0"/>
          <w:type w:val="continuous"/>
        </w:sectPr>
      </w:pPr>
    </w:p>
    <w:bookmarkStart w:id="24" w:name="page25"/>
    <w:bookmarkEnd w:id="24"/>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60"/>
        <w:spacing w:after="0"/>
        <w:rPr>
          <w:sz w:val="20"/>
          <w:szCs w:val="20"/>
          <w:color w:val="auto"/>
        </w:rPr>
      </w:pPr>
      <w:r>
        <w:rPr>
          <w:rFonts w:ascii="Arial" w:cs="Arial" w:eastAsia="Arial" w:hAnsi="Arial"/>
          <w:sz w:val="27"/>
          <w:szCs w:val="27"/>
          <w:b w:val="1"/>
          <w:bCs w:val="1"/>
          <w:color w:val="431C5B"/>
        </w:rPr>
        <w:t>Anil Chakravarthy</w:t>
      </w:r>
    </w:p>
    <w:p>
      <w:pPr>
        <w:spacing w:after="0" w:line="48"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431C5B"/>
        </w:rPr>
        <w:t>Independent Director</w:t>
      </w:r>
    </w:p>
    <w:p>
      <w:pPr>
        <w:spacing w:after="0" w:line="163" w:lineRule="exact"/>
        <w:rPr>
          <w:sz w:val="20"/>
          <w:szCs w:val="20"/>
          <w:color w:val="auto"/>
        </w:rPr>
      </w:pPr>
    </w:p>
    <w:tbl>
      <w:tblPr>
        <w:tblLayout w:type="fixed"/>
        <w:tblInd w:w="2360" w:type="dxa"/>
        <w:tblCellMar>
          <w:top w:w="0" w:type="dxa"/>
          <w:left w:w="0" w:type="dxa"/>
          <w:bottom w:w="0" w:type="dxa"/>
          <w:right w:w="0" w:type="dxa"/>
        </w:tblCellMar>
      </w:tblPr>
      <w:tr>
        <w:trPr>
          <w:trHeight w:val="175"/>
        </w:trPr>
        <w:tc>
          <w:tcPr>
            <w:tcW w:w="2620" w:type="dxa"/>
            <w:vAlign w:val="bottom"/>
          </w:tcPr>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auto"/>
              </w:rPr>
              <w:t>58</w:t>
            </w:r>
            <w:r>
              <w:rPr>
                <w:rFonts w:ascii="Arial" w:cs="Arial" w:eastAsia="Arial" w:hAnsi="Arial"/>
                <w:sz w:val="14"/>
                <w:szCs w:val="14"/>
                <w:color w:val="auto"/>
              </w:rPr>
              <w:t xml:space="preserve"> | Director since: </w:t>
            </w:r>
            <w:r>
              <w:rPr>
                <w:rFonts w:ascii="Arial" w:cs="Arial" w:eastAsia="Arial" w:hAnsi="Arial"/>
                <w:sz w:val="14"/>
                <w:szCs w:val="14"/>
                <w:b w:val="1"/>
                <w:bCs w:val="1"/>
                <w:color w:val="auto"/>
              </w:rPr>
              <w:t>2026</w:t>
            </w:r>
          </w:p>
        </w:tc>
        <w:tc>
          <w:tcPr>
            <w:tcW w:w="3660" w:type="dxa"/>
            <w:vAlign w:val="bottom"/>
          </w:tcPr>
          <w:p>
            <w:pPr>
              <w:ind w:left="760"/>
              <w:spacing w:after="0"/>
              <w:rPr>
                <w:sz w:val="20"/>
                <w:szCs w:val="20"/>
                <w:color w:val="auto"/>
              </w:rPr>
            </w:pPr>
            <w:r>
              <w:rPr>
                <w:rFonts w:ascii="Arial" w:cs="Arial" w:eastAsia="Arial" w:hAnsi="Arial"/>
                <w:sz w:val="14"/>
                <w:szCs w:val="14"/>
                <w:color w:val="auto"/>
              </w:rPr>
              <w:t xml:space="preserve">Committee Member: </w:t>
            </w:r>
            <w:r>
              <w:rPr>
                <w:rFonts w:ascii="Arial" w:cs="Arial" w:eastAsia="Arial" w:hAnsi="Arial"/>
                <w:sz w:val="14"/>
                <w:szCs w:val="14"/>
                <w:b w:val="1"/>
                <w:bCs w:val="1"/>
                <w:color w:val="auto"/>
              </w:rPr>
              <w:t>Audit, Risk</w:t>
            </w:r>
          </w:p>
        </w:tc>
        <w:tc>
          <w:tcPr>
            <w:tcW w:w="0" w:type="dxa"/>
            <w:vAlign w:val="bottom"/>
          </w:tcPr>
          <w:p>
            <w:pPr>
              <w:spacing w:after="0"/>
              <w:rPr>
                <w:sz w:val="1"/>
                <w:szCs w:val="1"/>
                <w:color w:val="auto"/>
              </w:rPr>
            </w:pPr>
          </w:p>
        </w:tc>
      </w:tr>
      <w:tr>
        <w:trPr>
          <w:trHeight w:val="196"/>
        </w:trPr>
        <w:tc>
          <w:tcPr>
            <w:tcW w:w="2620" w:type="dxa"/>
            <w:vAlign w:val="bottom"/>
            <w:vMerge w:val="restart"/>
          </w:tcPr>
          <w:p>
            <w:pPr>
              <w:spacing w:after="0"/>
              <w:rPr>
                <w:sz w:val="20"/>
                <w:szCs w:val="20"/>
                <w:color w:val="auto"/>
              </w:rPr>
            </w:pPr>
            <w:r>
              <w:rPr>
                <w:rFonts w:ascii="Arial" w:cs="Arial" w:eastAsia="Arial" w:hAnsi="Arial"/>
                <w:sz w:val="14"/>
                <w:szCs w:val="14"/>
                <w:color w:val="auto"/>
              </w:rPr>
              <w:t xml:space="preserve">Committee Chair: </w:t>
            </w:r>
            <w:r>
              <w:rPr>
                <w:rFonts w:ascii="Arial" w:cs="Arial" w:eastAsia="Arial" w:hAnsi="Arial"/>
                <w:sz w:val="14"/>
                <w:szCs w:val="14"/>
                <w:b w:val="1"/>
                <w:bCs w:val="1"/>
                <w:color w:val="auto"/>
              </w:rPr>
              <w:t>None</w:t>
            </w:r>
          </w:p>
        </w:tc>
        <w:tc>
          <w:tcPr>
            <w:tcW w:w="3660" w:type="dxa"/>
            <w:vAlign w:val="bottom"/>
          </w:tcPr>
          <w:p>
            <w:pPr>
              <w:ind w:left="760"/>
              <w:spacing w:after="0"/>
              <w:rPr>
                <w:sz w:val="20"/>
                <w:szCs w:val="20"/>
                <w:color w:val="auto"/>
              </w:rPr>
            </w:pPr>
            <w:r>
              <w:rPr>
                <w:rFonts w:ascii="Arial" w:cs="Arial" w:eastAsia="Arial" w:hAnsi="Arial"/>
                <w:sz w:val="14"/>
                <w:szCs w:val="14"/>
                <w:b w:val="1"/>
                <w:bCs w:val="1"/>
                <w:color w:val="auto"/>
              </w:rPr>
              <w:t>and Technology</w:t>
            </w:r>
          </w:p>
        </w:tc>
        <w:tc>
          <w:tcPr>
            <w:tcW w:w="0" w:type="dxa"/>
            <w:vAlign w:val="bottom"/>
          </w:tcPr>
          <w:p>
            <w:pPr>
              <w:spacing w:after="0"/>
              <w:rPr>
                <w:sz w:val="1"/>
                <w:szCs w:val="1"/>
                <w:color w:val="auto"/>
              </w:rPr>
            </w:pPr>
          </w:p>
        </w:tc>
      </w:tr>
      <w:tr>
        <w:trPr>
          <w:trHeight w:val="108"/>
        </w:trPr>
        <w:tc>
          <w:tcPr>
            <w:tcW w:w="2620" w:type="dxa"/>
            <w:vAlign w:val="bottom"/>
            <w:vMerge w:val="continue"/>
          </w:tcPr>
          <w:p>
            <w:pPr>
              <w:spacing w:after="0"/>
              <w:rPr>
                <w:sz w:val="9"/>
                <w:szCs w:val="9"/>
                <w:color w:val="auto"/>
              </w:rPr>
            </w:pPr>
          </w:p>
        </w:tc>
        <w:tc>
          <w:tcPr>
            <w:tcW w:w="3660" w:type="dxa"/>
            <w:vAlign w:val="bottom"/>
            <w:vMerge w:val="restart"/>
          </w:tcPr>
          <w:p>
            <w:pPr>
              <w:ind w:left="760"/>
              <w:spacing w:after="0"/>
              <w:rPr>
                <w:sz w:val="20"/>
                <w:szCs w:val="20"/>
                <w:color w:val="auto"/>
              </w:rPr>
            </w:pPr>
            <w:r>
              <w:rPr>
                <w:rFonts w:ascii="Arial" w:cs="Arial" w:eastAsia="Arial" w:hAnsi="Arial"/>
                <w:sz w:val="14"/>
                <w:szCs w:val="14"/>
                <w:color w:val="auto"/>
              </w:rPr>
              <w:t xml:space="preserve">Other Current Public Company Boards: </w:t>
            </w:r>
            <w:r>
              <w:rPr>
                <w:rFonts w:ascii="Arial" w:cs="Arial" w:eastAsia="Arial" w:hAnsi="Arial"/>
                <w:sz w:val="14"/>
                <w:szCs w:val="14"/>
                <w:b w:val="1"/>
                <w:bCs w:val="1"/>
                <w:color w:val="auto"/>
              </w:rPr>
              <w:t>None</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3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31C5B"/>
        </w:rPr>
        <w:t>Skills and Qualifications</w:t>
      </w:r>
    </w:p>
    <w:p>
      <w:pPr>
        <w:spacing w:after="0" w:line="48" w:lineRule="exact"/>
        <w:rPr>
          <w:sz w:val="20"/>
          <w:szCs w:val="20"/>
          <w:color w:val="auto"/>
        </w:rPr>
      </w:pPr>
    </w:p>
    <w:tbl>
      <w:tblPr>
        <w:tblLayout w:type="fixed"/>
        <w:tblInd w:w="300" w:type="dxa"/>
        <w:tblCellMar>
          <w:top w:w="0" w:type="dxa"/>
          <w:left w:w="0" w:type="dxa"/>
          <w:bottom w:w="0" w:type="dxa"/>
          <w:right w:w="0" w:type="dxa"/>
        </w:tblCellMar>
      </w:tblPr>
      <w:tr>
        <w:trPr>
          <w:trHeight w:val="34"/>
        </w:trPr>
        <w:tc>
          <w:tcPr>
            <w:tcW w:w="640" w:type="dxa"/>
            <w:vAlign w:val="bottom"/>
            <w:shd w:val="clear" w:color="auto" w:fill="ECE8EF"/>
          </w:tcPr>
          <w:p>
            <w:pPr>
              <w:spacing w:after="0"/>
              <w:rPr>
                <w:sz w:val="2"/>
                <w:szCs w:val="2"/>
                <w:color w:val="auto"/>
              </w:rPr>
            </w:pPr>
          </w:p>
        </w:tc>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3"/>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Executive Leadership</w:t>
            </w:r>
          </w:p>
        </w:tc>
        <w:tc>
          <w:tcPr>
            <w:tcW w:w="640" w:type="dxa"/>
            <w:vAlign w:val="bottom"/>
            <w:shd w:val="clear" w:color="auto" w:fill="ECE8EF"/>
          </w:tcPr>
          <w:p>
            <w:pPr>
              <w:spacing w:after="0"/>
              <w:rPr>
                <w:sz w:val="24"/>
                <w:szCs w:val="24"/>
                <w:color w:val="auto"/>
              </w:rPr>
            </w:pPr>
          </w:p>
        </w:tc>
        <w:tc>
          <w:tcPr>
            <w:tcW w:w="2900" w:type="dxa"/>
            <w:vAlign w:val="bottom"/>
            <w:gridSpan w:val="2"/>
            <w:shd w:val="clear" w:color="auto" w:fill="ECE8EF"/>
          </w:tcPr>
          <w:p>
            <w:pPr>
              <w:ind w:left="40"/>
              <w:spacing w:after="0"/>
              <w:rPr>
                <w:sz w:val="20"/>
                <w:szCs w:val="20"/>
                <w:color w:val="auto"/>
              </w:rPr>
            </w:pPr>
            <w:r>
              <w:rPr>
                <w:rFonts w:ascii="Arial" w:cs="Arial" w:eastAsia="Arial" w:hAnsi="Arial"/>
                <w:sz w:val="14"/>
                <w:szCs w:val="14"/>
                <w:color w:val="auto"/>
              </w:rPr>
              <w:t>Global Business Experience</w:t>
            </w:r>
          </w:p>
        </w:tc>
        <w:tc>
          <w:tcPr>
            <w:tcW w:w="2180" w:type="dxa"/>
            <w:vAlign w:val="bottom"/>
            <w:shd w:val="clear" w:color="auto" w:fill="ECE8EF"/>
          </w:tcPr>
          <w:p>
            <w:pPr>
              <w:ind w:left="60"/>
              <w:spacing w:after="0"/>
              <w:rPr>
                <w:sz w:val="20"/>
                <w:szCs w:val="20"/>
                <w:color w:val="auto"/>
              </w:rPr>
            </w:pPr>
            <w:r>
              <w:rPr>
                <w:rFonts w:ascii="Arial" w:cs="Arial" w:eastAsia="Arial" w:hAnsi="Arial"/>
                <w:sz w:val="14"/>
                <w:szCs w:val="14"/>
                <w:color w:val="auto"/>
              </w:rPr>
              <w:t>Financial Expertise</w:t>
            </w:r>
          </w:p>
        </w:tc>
        <w:tc>
          <w:tcPr>
            <w:tcW w:w="0" w:type="dxa"/>
            <w:vAlign w:val="bottom"/>
          </w:tcPr>
          <w:p>
            <w:pPr>
              <w:spacing w:after="0"/>
              <w:rPr>
                <w:sz w:val="1"/>
                <w:szCs w:val="1"/>
                <w:color w:val="auto"/>
              </w:rPr>
            </w:pPr>
          </w:p>
        </w:tc>
      </w:tr>
      <w:tr>
        <w:trPr>
          <w:trHeight w:val="444"/>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Public Company</w:t>
            </w:r>
          </w:p>
        </w:tc>
        <w:tc>
          <w:tcPr>
            <w:tcW w:w="640" w:type="dxa"/>
            <w:vAlign w:val="bottom"/>
            <w:shd w:val="clear" w:color="auto" w:fill="ECE8EF"/>
          </w:tcPr>
          <w:p>
            <w:pPr>
              <w:spacing w:after="0"/>
              <w:rPr>
                <w:sz w:val="24"/>
                <w:szCs w:val="24"/>
                <w:color w:val="auto"/>
              </w:rPr>
            </w:pPr>
          </w:p>
        </w:tc>
        <w:tc>
          <w:tcPr>
            <w:tcW w:w="226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Human Capital Management</w:t>
            </w:r>
          </w:p>
        </w:tc>
        <w:tc>
          <w:tcPr>
            <w:tcW w:w="640" w:type="dxa"/>
            <w:vAlign w:val="bottom"/>
            <w:shd w:val="clear" w:color="auto" w:fill="ECE8EF"/>
          </w:tcPr>
          <w:p>
            <w:pPr>
              <w:spacing w:after="0"/>
              <w:rPr>
                <w:sz w:val="24"/>
                <w:szCs w:val="24"/>
                <w:color w:val="auto"/>
              </w:rPr>
            </w:pPr>
          </w:p>
        </w:tc>
        <w:tc>
          <w:tcPr>
            <w:tcW w:w="2180" w:type="dxa"/>
            <w:vAlign w:val="bottom"/>
            <w:shd w:val="clear" w:color="auto" w:fill="ECE8EF"/>
          </w:tcPr>
          <w:p>
            <w:pPr>
              <w:ind w:left="60"/>
              <w:spacing w:after="0"/>
              <w:rPr>
                <w:sz w:val="20"/>
                <w:szCs w:val="20"/>
                <w:color w:val="auto"/>
              </w:rPr>
            </w:pPr>
            <w:r>
              <w:rPr>
                <w:rFonts w:ascii="Arial" w:cs="Arial" w:eastAsia="Arial" w:hAnsi="Arial"/>
                <w:sz w:val="14"/>
                <w:szCs w:val="14"/>
                <w:color w:val="auto"/>
              </w:rPr>
              <w:t>Enterprise Risk Management/</w:t>
            </w:r>
          </w:p>
        </w:tc>
        <w:tc>
          <w:tcPr>
            <w:tcW w:w="0" w:type="dxa"/>
            <w:vAlign w:val="bottom"/>
          </w:tcPr>
          <w:p>
            <w:pPr>
              <w:spacing w:after="0"/>
              <w:rPr>
                <w:sz w:val="1"/>
                <w:szCs w:val="1"/>
                <w:color w:val="auto"/>
              </w:rPr>
            </w:pPr>
          </w:p>
        </w:tc>
      </w:tr>
      <w:tr>
        <w:trPr>
          <w:trHeight w:val="96"/>
        </w:trPr>
        <w:tc>
          <w:tcPr>
            <w:tcW w:w="64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Board Experience</w:t>
            </w:r>
          </w:p>
        </w:tc>
        <w:tc>
          <w:tcPr>
            <w:tcW w:w="640" w:type="dxa"/>
            <w:vAlign w:val="bottom"/>
            <w:shd w:val="clear" w:color="auto" w:fill="ECE8EF"/>
          </w:tcPr>
          <w:p>
            <w:pPr>
              <w:spacing w:after="0"/>
              <w:rPr>
                <w:sz w:val="8"/>
                <w:szCs w:val="8"/>
                <w:color w:val="auto"/>
              </w:rPr>
            </w:pPr>
          </w:p>
        </w:tc>
        <w:tc>
          <w:tcPr>
            <w:tcW w:w="226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vMerge w:val="restart"/>
            <w:shd w:val="clear" w:color="auto" w:fill="ECE8EF"/>
          </w:tcPr>
          <w:p>
            <w:pPr>
              <w:ind w:left="60"/>
              <w:spacing w:after="0"/>
              <w:rPr>
                <w:sz w:val="20"/>
                <w:szCs w:val="20"/>
                <w:color w:val="auto"/>
              </w:rPr>
            </w:pPr>
            <w:r>
              <w:rPr>
                <w:rFonts w:ascii="Arial" w:cs="Arial" w:eastAsia="Arial" w:hAnsi="Arial"/>
                <w:sz w:val="14"/>
                <w:szCs w:val="14"/>
                <w:color w:val="auto"/>
              </w:rPr>
              <w:t>Information Security</w:t>
            </w:r>
          </w:p>
        </w:tc>
        <w:tc>
          <w:tcPr>
            <w:tcW w:w="0" w:type="dxa"/>
            <w:vAlign w:val="bottom"/>
          </w:tcPr>
          <w:p>
            <w:pPr>
              <w:spacing w:after="0"/>
              <w:rPr>
                <w:sz w:val="1"/>
                <w:szCs w:val="1"/>
                <w:color w:val="auto"/>
              </w:rPr>
            </w:pPr>
          </w:p>
        </w:tc>
      </w:tr>
      <w:tr>
        <w:trPr>
          <w:trHeight w:val="94"/>
        </w:trPr>
        <w:tc>
          <w:tcPr>
            <w:tcW w:w="64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vMerge w:val="continue"/>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Government and Regulatory</w:t>
            </w:r>
          </w:p>
        </w:tc>
        <w:tc>
          <w:tcPr>
            <w:tcW w:w="640" w:type="dxa"/>
            <w:vAlign w:val="bottom"/>
            <w:shd w:val="clear" w:color="auto" w:fill="ECE8EF"/>
          </w:tcPr>
          <w:p>
            <w:pPr>
              <w:spacing w:after="0"/>
              <w:rPr>
                <w:sz w:val="24"/>
                <w:szCs w:val="24"/>
                <w:color w:val="auto"/>
              </w:rPr>
            </w:pPr>
          </w:p>
        </w:tc>
        <w:tc>
          <w:tcPr>
            <w:tcW w:w="2260" w:type="dxa"/>
            <w:vAlign w:val="bottom"/>
            <w:shd w:val="clear" w:color="auto" w:fill="ECE8EF"/>
          </w:tcPr>
          <w:p>
            <w:pPr>
              <w:ind w:left="40"/>
              <w:spacing w:after="0"/>
              <w:rPr>
                <w:sz w:val="20"/>
                <w:szCs w:val="20"/>
                <w:color w:val="auto"/>
              </w:rPr>
            </w:pPr>
            <w:r>
              <w:rPr>
                <w:rFonts w:ascii="Arial" w:cs="Arial" w:eastAsia="Arial" w:hAnsi="Arial"/>
                <w:sz w:val="14"/>
                <w:szCs w:val="14"/>
                <w:color w:val="auto"/>
              </w:rPr>
              <w:t>Technology</w:t>
            </w:r>
          </w:p>
        </w:tc>
        <w:tc>
          <w:tcPr>
            <w:tcW w:w="640" w:type="dxa"/>
            <w:vAlign w:val="bottom"/>
            <w:shd w:val="clear" w:color="auto" w:fill="ECE8EF"/>
          </w:tcPr>
          <w:p>
            <w:pPr>
              <w:spacing w:after="0"/>
              <w:rPr>
                <w:sz w:val="24"/>
                <w:szCs w:val="24"/>
                <w:color w:val="auto"/>
              </w:rPr>
            </w:pPr>
          </w:p>
        </w:tc>
        <w:tc>
          <w:tcPr>
            <w:tcW w:w="2180" w:type="dxa"/>
            <w:vAlign w:val="bottom"/>
            <w:shd w:val="clear" w:color="auto" w:fill="ECE8EF"/>
          </w:tcPr>
          <w:p>
            <w:pPr>
              <w:ind w:left="60"/>
              <w:spacing w:after="0"/>
              <w:rPr>
                <w:sz w:val="20"/>
                <w:szCs w:val="20"/>
                <w:color w:val="auto"/>
              </w:rPr>
            </w:pPr>
            <w:r>
              <w:rPr>
                <w:rFonts w:ascii="Arial" w:cs="Arial" w:eastAsia="Arial" w:hAnsi="Arial"/>
                <w:sz w:val="14"/>
                <w:szCs w:val="14"/>
                <w:color w:val="auto"/>
              </w:rPr>
              <w:t>Business Transformation</w:t>
            </w:r>
          </w:p>
        </w:tc>
        <w:tc>
          <w:tcPr>
            <w:tcW w:w="0" w:type="dxa"/>
            <w:vAlign w:val="bottom"/>
          </w:tcPr>
          <w:p>
            <w:pPr>
              <w:spacing w:after="0"/>
              <w:rPr>
                <w:sz w:val="1"/>
                <w:szCs w:val="1"/>
                <w:color w:val="auto"/>
              </w:rPr>
            </w:pPr>
          </w:p>
        </w:tc>
      </w:tr>
      <w:tr>
        <w:trPr>
          <w:trHeight w:val="459"/>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Banking/Financial Services</w:t>
            </w:r>
          </w:p>
        </w:tc>
        <w:tc>
          <w:tcPr>
            <w:tcW w:w="640" w:type="dxa"/>
            <w:vAlign w:val="bottom"/>
            <w:shd w:val="clear" w:color="auto" w:fill="ECE8EF"/>
          </w:tcPr>
          <w:p>
            <w:pPr>
              <w:spacing w:after="0"/>
              <w:rPr>
                <w:sz w:val="24"/>
                <w:szCs w:val="24"/>
                <w:color w:val="auto"/>
              </w:rPr>
            </w:pPr>
          </w:p>
        </w:tc>
        <w:tc>
          <w:tcPr>
            <w:tcW w:w="22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40" w:type="dxa"/>
            <w:vAlign w:val="bottom"/>
            <w:shd w:val="clear" w:color="auto" w:fill="ECE8EF"/>
          </w:tcPr>
          <w:p>
            <w:pPr>
              <w:spacing w:after="0"/>
              <w:rPr>
                <w:sz w:val="14"/>
                <w:szCs w:val="14"/>
                <w:color w:val="auto"/>
              </w:rPr>
            </w:pPr>
          </w:p>
        </w:tc>
        <w:tc>
          <w:tcPr>
            <w:tcW w:w="2220" w:type="dxa"/>
            <w:vAlign w:val="bottom"/>
            <w:shd w:val="clear" w:color="auto" w:fill="ECE8EF"/>
          </w:tcPr>
          <w:p>
            <w:pPr>
              <w:spacing w:after="0"/>
              <w:rPr>
                <w:sz w:val="14"/>
                <w:szCs w:val="14"/>
                <w:color w:val="auto"/>
              </w:rPr>
            </w:pPr>
          </w:p>
        </w:tc>
        <w:tc>
          <w:tcPr>
            <w:tcW w:w="640" w:type="dxa"/>
            <w:vAlign w:val="bottom"/>
            <w:shd w:val="clear" w:color="auto" w:fill="ECE8EF"/>
          </w:tcPr>
          <w:p>
            <w:pPr>
              <w:spacing w:after="0"/>
              <w:rPr>
                <w:sz w:val="14"/>
                <w:szCs w:val="14"/>
                <w:color w:val="auto"/>
              </w:rPr>
            </w:pPr>
          </w:p>
        </w:tc>
        <w:tc>
          <w:tcPr>
            <w:tcW w:w="2260" w:type="dxa"/>
            <w:vAlign w:val="bottom"/>
            <w:shd w:val="clear" w:color="auto" w:fill="ECE8EF"/>
          </w:tcPr>
          <w:p>
            <w:pPr>
              <w:spacing w:after="0"/>
              <w:rPr>
                <w:sz w:val="14"/>
                <w:szCs w:val="14"/>
                <w:color w:val="auto"/>
              </w:rPr>
            </w:pPr>
          </w:p>
        </w:tc>
        <w:tc>
          <w:tcPr>
            <w:tcW w:w="640" w:type="dxa"/>
            <w:vAlign w:val="bottom"/>
            <w:shd w:val="clear" w:color="auto" w:fill="ECE8EF"/>
          </w:tcPr>
          <w:p>
            <w:pPr>
              <w:spacing w:after="0"/>
              <w:rPr>
                <w:sz w:val="14"/>
                <w:szCs w:val="14"/>
                <w:color w:val="auto"/>
              </w:rPr>
            </w:pPr>
          </w:p>
        </w:tc>
        <w:tc>
          <w:tcPr>
            <w:tcW w:w="2180" w:type="dxa"/>
            <w:vAlign w:val="bottom"/>
            <w:shd w:val="clear" w:color="auto" w:fill="ECE8EF"/>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431C5B"/>
        </w:rPr>
        <w:t>Experience</w:t>
      </w:r>
    </w:p>
    <w:p>
      <w:pPr>
        <w:spacing w:after="0" w:line="127" w:lineRule="exact"/>
        <w:rPr>
          <w:sz w:val="20"/>
          <w:szCs w:val="20"/>
          <w:color w:val="auto"/>
        </w:rPr>
      </w:pPr>
    </w:p>
    <w:p>
      <w:pPr>
        <w:ind w:left="520" w:hanging="196"/>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President, Customer Experience Orchestration Business, </w:t>
      </w:r>
      <w:r>
        <w:rPr>
          <w:rFonts w:ascii="Arial" w:cs="Arial" w:eastAsia="Arial" w:hAnsi="Arial"/>
          <w:sz w:val="14"/>
          <w:szCs w:val="14"/>
          <w:b w:val="1"/>
          <w:bCs w:val="1"/>
          <w:color w:val="auto"/>
        </w:rPr>
        <w:t>Adobe</w:t>
      </w:r>
      <w:r>
        <w:rPr>
          <w:rFonts w:ascii="Arial" w:cs="Arial" w:eastAsia="Arial" w:hAnsi="Arial"/>
          <w:sz w:val="14"/>
          <w:szCs w:val="14"/>
          <w:color w:val="auto"/>
        </w:rPr>
        <w:t xml:space="preserve"> (2020 – present)</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Chief Executive Officer, Informatica (2015 – 2020)</w:t>
      </w:r>
    </w:p>
    <w:p>
      <w:pPr>
        <w:spacing w:after="0" w:line="200" w:lineRule="exact"/>
        <w:rPr>
          <w:sz w:val="20"/>
          <w:szCs w:val="20"/>
          <w:color w:val="auto"/>
        </w:rPr>
      </w:pP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247"/>
        </w:trPr>
        <w:tc>
          <w:tcPr>
            <w:tcW w:w="3920" w:type="dxa"/>
            <w:vAlign w:val="bottom"/>
            <w:gridSpan w:val="2"/>
          </w:tcPr>
          <w:p>
            <w:pPr>
              <w:spacing w:after="0"/>
              <w:rPr>
                <w:sz w:val="20"/>
                <w:szCs w:val="20"/>
                <w:color w:val="auto"/>
              </w:rPr>
            </w:pPr>
            <w:r>
              <w:rPr>
                <w:rFonts w:ascii="Arial" w:cs="Arial" w:eastAsia="Arial" w:hAnsi="Arial"/>
                <w:sz w:val="18"/>
                <w:szCs w:val="18"/>
                <w:b w:val="1"/>
                <w:bCs w:val="1"/>
                <w:color w:val="431C5B"/>
              </w:rPr>
              <w:t>Other Public Company Boards (Former)</w:t>
            </w:r>
          </w:p>
        </w:tc>
        <w:tc>
          <w:tcPr>
            <w:tcW w:w="4300" w:type="dxa"/>
            <w:vAlign w:val="bottom"/>
            <w:gridSpan w:val="2"/>
          </w:tcPr>
          <w:p>
            <w:pPr>
              <w:ind w:left="500"/>
              <w:spacing w:after="0"/>
              <w:rPr>
                <w:sz w:val="20"/>
                <w:szCs w:val="20"/>
                <w:color w:val="auto"/>
              </w:rPr>
            </w:pPr>
            <w:r>
              <w:rPr>
                <w:rFonts w:ascii="Arial" w:cs="Arial" w:eastAsia="Arial" w:hAnsi="Arial"/>
                <w:sz w:val="18"/>
                <w:szCs w:val="18"/>
                <w:b w:val="1"/>
                <w:bCs w:val="1"/>
                <w:color w:val="431C5B"/>
              </w:rPr>
              <w:t>Education</w:t>
            </w:r>
          </w:p>
        </w:tc>
      </w:tr>
      <w:tr>
        <w:trPr>
          <w:trHeight w:val="277"/>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0" w:type="dxa"/>
            <w:vAlign w:val="bottom"/>
          </w:tcPr>
          <w:p>
            <w:pPr>
              <w:ind w:left="80"/>
              <w:spacing w:after="0"/>
              <w:rPr>
                <w:sz w:val="20"/>
                <w:szCs w:val="20"/>
                <w:color w:val="auto"/>
              </w:rPr>
            </w:pPr>
            <w:r>
              <w:rPr>
                <w:rFonts w:ascii="Arial" w:cs="Arial" w:eastAsia="Arial" w:hAnsi="Arial"/>
                <w:sz w:val="14"/>
                <w:szCs w:val="14"/>
                <w:color w:val="auto"/>
              </w:rPr>
              <w:t>ANSYS, Inc. (2021 – 2025)</w:t>
            </w:r>
          </w:p>
        </w:tc>
        <w:tc>
          <w:tcPr>
            <w:tcW w:w="4300" w:type="dxa"/>
            <w:vAlign w:val="bottom"/>
            <w:gridSpan w:val="2"/>
          </w:tcPr>
          <w:p>
            <w:pPr>
              <w:ind w:left="500"/>
              <w:spacing w:after="0"/>
              <w:rPr>
                <w:sz w:val="20"/>
                <w:szCs w:val="20"/>
                <w:color w:val="auto"/>
              </w:rPr>
            </w:pPr>
            <w:r>
              <w:rPr>
                <w:rFonts w:ascii="Arial" w:cs="Arial" w:eastAsia="Arial" w:hAnsi="Arial"/>
                <w:sz w:val="14"/>
                <w:szCs w:val="14"/>
                <w:color w:val="auto"/>
              </w:rPr>
              <w:t>•  BTech, Institute of Technology, Banaras Hindu University</w:t>
            </w:r>
          </w:p>
        </w:tc>
      </w:tr>
      <w:tr>
        <w:trPr>
          <w:trHeight w:val="230"/>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0" w:type="dxa"/>
            <w:vAlign w:val="bottom"/>
          </w:tcPr>
          <w:p>
            <w:pPr>
              <w:ind w:left="80"/>
              <w:spacing w:after="0"/>
              <w:rPr>
                <w:sz w:val="20"/>
                <w:szCs w:val="20"/>
                <w:color w:val="auto"/>
              </w:rPr>
            </w:pPr>
            <w:r>
              <w:rPr>
                <w:rFonts w:ascii="Arial" w:cs="Arial" w:eastAsia="Arial" w:hAnsi="Arial"/>
                <w:sz w:val="14"/>
                <w:szCs w:val="14"/>
                <w:color w:val="auto"/>
              </w:rPr>
              <w:t>USAA Federal Savings Bank (2015 – 2020)</w:t>
            </w:r>
          </w:p>
        </w:tc>
        <w:tc>
          <w:tcPr>
            <w:tcW w:w="620" w:type="dxa"/>
            <w:vAlign w:val="bottom"/>
          </w:tcPr>
          <w:p>
            <w:pPr>
              <w:ind w:left="500"/>
              <w:spacing w:after="0"/>
              <w:rPr>
                <w:sz w:val="20"/>
                <w:szCs w:val="20"/>
                <w:color w:val="auto"/>
              </w:rPr>
            </w:pPr>
            <w:r>
              <w:rPr>
                <w:rFonts w:ascii="Arial" w:cs="Arial" w:eastAsia="Arial" w:hAnsi="Arial"/>
                <w:sz w:val="14"/>
                <w:szCs w:val="14"/>
                <w:color w:val="auto"/>
              </w:rPr>
              <w:t>•</w:t>
            </w:r>
          </w:p>
        </w:tc>
        <w:tc>
          <w:tcPr>
            <w:tcW w:w="3680" w:type="dxa"/>
            <w:vAlign w:val="bottom"/>
          </w:tcPr>
          <w:p>
            <w:pPr>
              <w:ind w:left="80"/>
              <w:spacing w:after="0"/>
              <w:rPr>
                <w:sz w:val="20"/>
                <w:szCs w:val="20"/>
                <w:color w:val="auto"/>
              </w:rPr>
            </w:pPr>
            <w:r>
              <w:rPr>
                <w:rFonts w:ascii="Arial" w:cs="Arial" w:eastAsia="Arial" w:hAnsi="Arial"/>
                <w:sz w:val="14"/>
                <w:szCs w:val="14"/>
                <w:color w:val="auto"/>
              </w:rPr>
              <w:t>SM, Massachusetts Institute of Technology</w:t>
            </w:r>
          </w:p>
        </w:tc>
      </w:tr>
      <w:tr>
        <w:trPr>
          <w:trHeight w:val="243"/>
        </w:trPr>
        <w:tc>
          <w:tcPr>
            <w:tcW w:w="1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620" w:type="dxa"/>
            <w:vAlign w:val="bottom"/>
          </w:tcPr>
          <w:p>
            <w:pPr>
              <w:ind w:left="500"/>
              <w:spacing w:after="0"/>
              <w:rPr>
                <w:sz w:val="20"/>
                <w:szCs w:val="20"/>
                <w:color w:val="auto"/>
              </w:rPr>
            </w:pPr>
            <w:r>
              <w:rPr>
                <w:rFonts w:ascii="Arial" w:cs="Arial" w:eastAsia="Arial" w:hAnsi="Arial"/>
                <w:sz w:val="14"/>
                <w:szCs w:val="14"/>
                <w:color w:val="auto"/>
              </w:rPr>
              <w:t>•</w:t>
            </w:r>
          </w:p>
        </w:tc>
        <w:tc>
          <w:tcPr>
            <w:tcW w:w="3680" w:type="dxa"/>
            <w:vAlign w:val="bottom"/>
          </w:tcPr>
          <w:p>
            <w:pPr>
              <w:ind w:left="80"/>
              <w:spacing w:after="0"/>
              <w:rPr>
                <w:sz w:val="20"/>
                <w:szCs w:val="20"/>
                <w:color w:val="auto"/>
              </w:rPr>
            </w:pPr>
            <w:r>
              <w:rPr>
                <w:rFonts w:ascii="Arial" w:cs="Arial" w:eastAsia="Arial" w:hAnsi="Arial"/>
                <w:sz w:val="14"/>
                <w:szCs w:val="14"/>
                <w:color w:val="auto"/>
              </w:rPr>
              <w:t>PhD, Massachusetts Institute of Technology</w:t>
            </w:r>
          </w:p>
        </w:tc>
      </w:tr>
    </w:tbl>
    <w:p>
      <w:pPr>
        <w:spacing w:after="0" w:line="200" w:lineRule="exact"/>
        <w:rPr>
          <w:sz w:val="20"/>
          <w:szCs w:val="20"/>
          <w:color w:val="auto"/>
        </w:rPr>
      </w:pP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20" w:hanging="429"/>
        <w:spacing w:after="0"/>
        <w:tabs>
          <w:tab w:leader="none" w:pos="620" w:val="left"/>
        </w:tabs>
        <w:numPr>
          <w:ilvl w:val="0"/>
          <w:numId w:val="31"/>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25" w:name="page26"/>
    <w:bookmarkEnd w:id="25"/>
    <w:tbl>
      <w:tblPr>
        <w:tblLayout w:type="fixed"/>
        <w:tblInd w:w="120" w:type="dxa"/>
        <w:tblCellMar>
          <w:top w:w="0" w:type="dxa"/>
          <w:left w:w="0" w:type="dxa"/>
          <w:bottom w:w="0" w:type="dxa"/>
          <w:right w:w="0" w:type="dxa"/>
        </w:tblCellMar>
      </w:tblPr>
      <w:tr>
        <w:trPr>
          <w:trHeight w:val="196"/>
        </w:trPr>
        <w:tc>
          <w:tcPr>
            <w:tcW w:w="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180" w:type="dxa"/>
            <w:vAlign w:val="bottom"/>
            <w:gridSpan w:val="2"/>
          </w:tcPr>
          <w:p>
            <w:pPr>
              <w:ind w:left="940"/>
              <w:spacing w:after="0"/>
              <w:rPr>
                <w:sz w:val="20"/>
                <w:szCs w:val="20"/>
                <w:color w:val="auto"/>
              </w:rPr>
            </w:pPr>
            <w:r>
              <w:rPr>
                <w:rFonts w:ascii="Arial" w:cs="Arial" w:eastAsia="Arial" w:hAnsi="Arial"/>
                <w:sz w:val="14"/>
                <w:szCs w:val="14"/>
                <w:b w:val="1"/>
                <w:bCs w:val="1"/>
                <w:color w:val="431C5B"/>
              </w:rPr>
              <w:t>Proposal 1: Election of Directors</w:t>
            </w:r>
          </w:p>
        </w:tc>
        <w:tc>
          <w:tcPr>
            <w:tcW w:w="0" w:type="dxa"/>
            <w:vAlign w:val="bottom"/>
          </w:tcPr>
          <w:p>
            <w:pPr>
              <w:spacing w:after="0"/>
              <w:rPr>
                <w:sz w:val="1"/>
                <w:szCs w:val="1"/>
                <w:color w:val="auto"/>
              </w:rPr>
            </w:pPr>
          </w:p>
        </w:tc>
      </w:tr>
      <w:tr>
        <w:trPr>
          <w:trHeight w:val="938"/>
        </w:trPr>
        <w:tc>
          <w:tcPr>
            <w:tcW w:w="820" w:type="dxa"/>
            <w:vAlign w:val="bottom"/>
          </w:tcPr>
          <w:p>
            <w:pPr>
              <w:spacing w:after="0"/>
              <w:rPr>
                <w:sz w:val="24"/>
                <w:szCs w:val="24"/>
                <w:color w:val="auto"/>
              </w:rPr>
            </w:pPr>
          </w:p>
        </w:tc>
        <w:tc>
          <w:tcPr>
            <w:tcW w:w="4760" w:type="dxa"/>
            <w:vAlign w:val="bottom"/>
            <w:gridSpan w:val="3"/>
          </w:tcPr>
          <w:p>
            <w:pPr>
              <w:ind w:left="1420"/>
              <w:spacing w:after="0"/>
              <w:rPr>
                <w:sz w:val="20"/>
                <w:szCs w:val="20"/>
                <w:color w:val="auto"/>
              </w:rPr>
            </w:pPr>
            <w:r>
              <w:rPr>
                <w:rFonts w:ascii="Arial" w:cs="Arial" w:eastAsia="Arial" w:hAnsi="Arial"/>
                <w:sz w:val="27"/>
                <w:szCs w:val="27"/>
                <w:b w:val="1"/>
                <w:bCs w:val="1"/>
                <w:color w:val="431C5B"/>
              </w:rPr>
              <w:t>Kourtney K. Gibson</w:t>
            </w: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880" w:type="dxa"/>
            <w:vAlign w:val="bottom"/>
            <w:gridSpan w:val="2"/>
          </w:tcPr>
          <w:p>
            <w:pPr>
              <w:ind w:left="1420"/>
              <w:spacing w:after="0"/>
              <w:rPr>
                <w:sz w:val="20"/>
                <w:szCs w:val="20"/>
                <w:color w:val="auto"/>
              </w:rPr>
            </w:pPr>
            <w:r>
              <w:rPr>
                <w:rFonts w:ascii="Arial" w:cs="Arial" w:eastAsia="Arial" w:hAnsi="Arial"/>
                <w:sz w:val="14"/>
                <w:szCs w:val="14"/>
                <w:b w:val="1"/>
                <w:bCs w:val="1"/>
                <w:color w:val="431C5B"/>
              </w:rPr>
              <w:t>Independent Director</w:t>
            </w:r>
          </w:p>
        </w:tc>
        <w:tc>
          <w:tcPr>
            <w:tcW w:w="1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4760" w:type="dxa"/>
            <w:vAlign w:val="bottom"/>
            <w:gridSpan w:val="3"/>
          </w:tcPr>
          <w:p>
            <w:pPr>
              <w:ind w:left="1420"/>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auto"/>
              </w:rPr>
              <w:t>44</w:t>
            </w:r>
            <w:r>
              <w:rPr>
                <w:rFonts w:ascii="Arial" w:cs="Arial" w:eastAsia="Arial" w:hAnsi="Arial"/>
                <w:sz w:val="14"/>
                <w:szCs w:val="14"/>
                <w:color w:val="auto"/>
              </w:rPr>
              <w:t xml:space="preserve"> | Director since: </w:t>
            </w:r>
            <w:r>
              <w:rPr>
                <w:rFonts w:ascii="Arial" w:cs="Arial" w:eastAsia="Arial" w:hAnsi="Arial"/>
                <w:sz w:val="14"/>
                <w:szCs w:val="14"/>
                <w:b w:val="1"/>
                <w:bCs w:val="1"/>
                <w:color w:val="auto"/>
              </w:rPr>
              <w:t>2024</w:t>
            </w:r>
          </w:p>
        </w:tc>
        <w:tc>
          <w:tcPr>
            <w:tcW w:w="3180" w:type="dxa"/>
            <w:vAlign w:val="bottom"/>
            <w:gridSpan w:val="2"/>
          </w:tcPr>
          <w:p>
            <w:pPr>
              <w:ind w:left="40"/>
              <w:spacing w:after="0"/>
              <w:rPr>
                <w:sz w:val="20"/>
                <w:szCs w:val="20"/>
                <w:color w:val="auto"/>
              </w:rPr>
            </w:pPr>
            <w:r>
              <w:rPr>
                <w:rFonts w:ascii="Arial" w:cs="Arial" w:eastAsia="Arial" w:hAnsi="Arial"/>
                <w:sz w:val="14"/>
                <w:szCs w:val="14"/>
                <w:color w:val="auto"/>
              </w:rPr>
              <w:t xml:space="preserve">Committee Member: </w:t>
            </w:r>
            <w:r>
              <w:rPr>
                <w:rFonts w:ascii="Arial" w:cs="Arial" w:eastAsia="Arial" w:hAnsi="Arial"/>
                <w:sz w:val="14"/>
                <w:szCs w:val="14"/>
                <w:b w:val="1"/>
                <w:bCs w:val="1"/>
                <w:color w:val="auto"/>
              </w:rPr>
              <w:t>Audit, Risk</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760" w:type="dxa"/>
            <w:vAlign w:val="bottom"/>
            <w:gridSpan w:val="3"/>
            <w:vMerge w:val="restart"/>
          </w:tcPr>
          <w:p>
            <w:pPr>
              <w:ind w:left="1420"/>
              <w:spacing w:after="0"/>
              <w:rPr>
                <w:sz w:val="20"/>
                <w:szCs w:val="20"/>
                <w:color w:val="auto"/>
              </w:rPr>
            </w:pPr>
            <w:r>
              <w:rPr>
                <w:rFonts w:ascii="Arial" w:cs="Arial" w:eastAsia="Arial" w:hAnsi="Arial"/>
                <w:sz w:val="14"/>
                <w:szCs w:val="14"/>
                <w:color w:val="auto"/>
              </w:rPr>
              <w:t xml:space="preserve">Committee Chair: </w:t>
            </w:r>
            <w:r>
              <w:rPr>
                <w:rFonts w:ascii="Arial" w:cs="Arial" w:eastAsia="Arial" w:hAnsi="Arial"/>
                <w:sz w:val="14"/>
                <w:szCs w:val="14"/>
                <w:b w:val="1"/>
                <w:bCs w:val="1"/>
                <w:color w:val="auto"/>
              </w:rPr>
              <w:t>None</w:t>
            </w:r>
          </w:p>
        </w:tc>
        <w:tc>
          <w:tcPr>
            <w:tcW w:w="318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Technology</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760" w:type="dxa"/>
            <w:vAlign w:val="bottom"/>
            <w:gridSpan w:val="3"/>
            <w:vMerge w:val="continue"/>
          </w:tcPr>
          <w:p>
            <w:pPr>
              <w:spacing w:after="0"/>
              <w:rPr>
                <w:sz w:val="9"/>
                <w:szCs w:val="9"/>
                <w:color w:val="auto"/>
              </w:rPr>
            </w:pPr>
          </w:p>
        </w:tc>
        <w:tc>
          <w:tcPr>
            <w:tcW w:w="318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Other Current Public Company Boards: </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8"/>
        </w:trPr>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00" w:type="dxa"/>
            <w:vAlign w:val="bottom"/>
            <w:gridSpan w:val="3"/>
            <w:shd w:val="clear" w:color="auto" w:fill="ECE8EF"/>
          </w:tcPr>
          <w:p>
            <w:pPr>
              <w:ind w:left="240"/>
              <w:spacing w:after="0"/>
              <w:rPr>
                <w:sz w:val="20"/>
                <w:szCs w:val="20"/>
                <w:color w:val="auto"/>
              </w:rPr>
            </w:pPr>
            <w:r>
              <w:rPr>
                <w:rFonts w:ascii="Arial" w:cs="Arial" w:eastAsia="Arial" w:hAnsi="Arial"/>
                <w:sz w:val="18"/>
                <w:szCs w:val="18"/>
                <w:b w:val="1"/>
                <w:bCs w:val="1"/>
                <w:color w:val="431C5B"/>
              </w:rPr>
              <w:t>Skills and Qualifications</w:t>
            </w:r>
          </w:p>
        </w:tc>
        <w:tc>
          <w:tcPr>
            <w:tcW w:w="1880" w:type="dxa"/>
            <w:vAlign w:val="bottom"/>
            <w:shd w:val="clear" w:color="auto" w:fill="ECE8EF"/>
          </w:tcPr>
          <w:p>
            <w:pPr>
              <w:spacing w:after="0"/>
              <w:rPr>
                <w:sz w:val="24"/>
                <w:szCs w:val="24"/>
                <w:color w:val="auto"/>
              </w:rPr>
            </w:pPr>
          </w:p>
        </w:tc>
        <w:tc>
          <w:tcPr>
            <w:tcW w:w="1000" w:type="dxa"/>
            <w:vAlign w:val="bottom"/>
            <w:shd w:val="clear" w:color="auto" w:fill="ECE8EF"/>
          </w:tcPr>
          <w:p>
            <w:pPr>
              <w:spacing w:after="0"/>
              <w:rPr>
                <w:sz w:val="24"/>
                <w:szCs w:val="24"/>
                <w:color w:val="auto"/>
              </w:rPr>
            </w:pPr>
          </w:p>
        </w:tc>
        <w:tc>
          <w:tcPr>
            <w:tcW w:w="2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Executive Leadership</w:t>
            </w:r>
          </w:p>
        </w:tc>
        <w:tc>
          <w:tcPr>
            <w:tcW w:w="660" w:type="dxa"/>
            <w:vAlign w:val="bottom"/>
            <w:shd w:val="clear" w:color="auto" w:fill="ECE8EF"/>
          </w:tcPr>
          <w:p>
            <w:pPr>
              <w:spacing w:after="0"/>
              <w:rPr>
                <w:sz w:val="24"/>
                <w:szCs w:val="24"/>
                <w:color w:val="auto"/>
              </w:rPr>
            </w:pPr>
          </w:p>
        </w:tc>
        <w:tc>
          <w:tcPr>
            <w:tcW w:w="1880" w:type="dxa"/>
            <w:vAlign w:val="bottom"/>
            <w:shd w:val="clear" w:color="auto" w:fill="ECE8EF"/>
          </w:tcPr>
          <w:p>
            <w:pPr>
              <w:ind w:left="20"/>
              <w:spacing w:after="0"/>
              <w:rPr>
                <w:sz w:val="20"/>
                <w:szCs w:val="20"/>
                <w:color w:val="auto"/>
              </w:rPr>
            </w:pPr>
            <w:r>
              <w:rPr>
                <w:rFonts w:ascii="Arial" w:cs="Arial" w:eastAsia="Arial" w:hAnsi="Arial"/>
                <w:sz w:val="14"/>
                <w:szCs w:val="14"/>
                <w:color w:val="auto"/>
              </w:rPr>
              <w:t>Global Business Experience</w:t>
            </w:r>
          </w:p>
        </w:tc>
        <w:tc>
          <w:tcPr>
            <w:tcW w:w="1000" w:type="dxa"/>
            <w:vAlign w:val="bottom"/>
            <w:shd w:val="clear" w:color="auto" w:fill="ECE8EF"/>
          </w:tcPr>
          <w:p>
            <w:pPr>
              <w:spacing w:after="0"/>
              <w:rPr>
                <w:sz w:val="24"/>
                <w:szCs w:val="24"/>
                <w:color w:val="auto"/>
              </w:rPr>
            </w:pPr>
          </w:p>
        </w:tc>
        <w:tc>
          <w:tcPr>
            <w:tcW w:w="2180" w:type="dxa"/>
            <w:vAlign w:val="bottom"/>
            <w:shd w:val="clear" w:color="auto" w:fill="ECE8EF"/>
          </w:tcPr>
          <w:p>
            <w:pPr>
              <w:ind w:left="60"/>
              <w:spacing w:after="0"/>
              <w:rPr>
                <w:sz w:val="20"/>
                <w:szCs w:val="20"/>
                <w:color w:val="auto"/>
              </w:rPr>
            </w:pPr>
            <w:r>
              <w:rPr>
                <w:rFonts w:ascii="Arial" w:cs="Arial" w:eastAsia="Arial" w:hAnsi="Arial"/>
                <w:sz w:val="14"/>
                <w:szCs w:val="14"/>
                <w:color w:val="auto"/>
              </w:rPr>
              <w:t>Financial Expertise</w:t>
            </w:r>
          </w:p>
        </w:tc>
        <w:tc>
          <w:tcPr>
            <w:tcW w:w="0" w:type="dxa"/>
            <w:vAlign w:val="bottom"/>
          </w:tcPr>
          <w:p>
            <w:pPr>
              <w:spacing w:after="0"/>
              <w:rPr>
                <w:sz w:val="1"/>
                <w:szCs w:val="1"/>
                <w:color w:val="auto"/>
              </w:rPr>
            </w:pPr>
          </w:p>
        </w:tc>
      </w:tr>
      <w:tr>
        <w:trPr>
          <w:trHeight w:val="444"/>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Public Company</w:t>
            </w:r>
          </w:p>
        </w:tc>
        <w:tc>
          <w:tcPr>
            <w:tcW w:w="660" w:type="dxa"/>
            <w:vAlign w:val="bottom"/>
            <w:shd w:val="clear" w:color="auto" w:fill="ECE8EF"/>
          </w:tcPr>
          <w:p>
            <w:pPr>
              <w:spacing w:after="0"/>
              <w:rPr>
                <w:sz w:val="24"/>
                <w:szCs w:val="24"/>
                <w:color w:val="auto"/>
              </w:rPr>
            </w:pPr>
          </w:p>
        </w:tc>
        <w:tc>
          <w:tcPr>
            <w:tcW w:w="1880" w:type="dxa"/>
            <w:vAlign w:val="bottom"/>
            <w:vMerge w:val="restart"/>
            <w:shd w:val="clear" w:color="auto" w:fill="ECE8EF"/>
          </w:tcPr>
          <w:p>
            <w:pPr>
              <w:ind w:left="20"/>
              <w:spacing w:after="0"/>
              <w:rPr>
                <w:sz w:val="20"/>
                <w:szCs w:val="20"/>
                <w:color w:val="auto"/>
              </w:rPr>
            </w:pPr>
            <w:r>
              <w:rPr>
                <w:rFonts w:ascii="Arial" w:cs="Arial" w:eastAsia="Arial" w:hAnsi="Arial"/>
                <w:sz w:val="14"/>
                <w:szCs w:val="14"/>
                <w:color w:val="auto"/>
              </w:rPr>
              <w:t>Human Capital Management</w:t>
            </w:r>
          </w:p>
        </w:tc>
        <w:tc>
          <w:tcPr>
            <w:tcW w:w="1000" w:type="dxa"/>
            <w:vAlign w:val="bottom"/>
            <w:shd w:val="clear" w:color="auto" w:fill="ECE8EF"/>
          </w:tcPr>
          <w:p>
            <w:pPr>
              <w:spacing w:after="0"/>
              <w:rPr>
                <w:sz w:val="24"/>
                <w:szCs w:val="24"/>
                <w:color w:val="auto"/>
              </w:rPr>
            </w:pPr>
          </w:p>
        </w:tc>
        <w:tc>
          <w:tcPr>
            <w:tcW w:w="2180" w:type="dxa"/>
            <w:vAlign w:val="bottom"/>
            <w:vMerge w:val="restart"/>
            <w:shd w:val="clear" w:color="auto" w:fill="ECE8EF"/>
          </w:tcPr>
          <w:p>
            <w:pPr>
              <w:ind w:left="60"/>
              <w:spacing w:after="0"/>
              <w:rPr>
                <w:sz w:val="20"/>
                <w:szCs w:val="20"/>
                <w:color w:val="auto"/>
              </w:rPr>
            </w:pPr>
            <w:r>
              <w:rPr>
                <w:rFonts w:ascii="Arial" w:cs="Arial" w:eastAsia="Arial" w:hAnsi="Arial"/>
                <w:sz w:val="14"/>
                <w:szCs w:val="14"/>
                <w:color w:val="auto"/>
              </w:rPr>
              <w:t>Government and Regulatory</w:t>
            </w:r>
          </w:p>
        </w:tc>
        <w:tc>
          <w:tcPr>
            <w:tcW w:w="0" w:type="dxa"/>
            <w:vAlign w:val="bottom"/>
          </w:tcPr>
          <w:p>
            <w:pPr>
              <w:spacing w:after="0"/>
              <w:rPr>
                <w:sz w:val="1"/>
                <w:szCs w:val="1"/>
                <w:color w:val="auto"/>
              </w:rPr>
            </w:pPr>
          </w:p>
        </w:tc>
      </w:tr>
      <w:tr>
        <w:trPr>
          <w:trHeight w:val="96"/>
        </w:trPr>
        <w:tc>
          <w:tcPr>
            <w:tcW w:w="82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Board Experience</w:t>
            </w:r>
          </w:p>
        </w:tc>
        <w:tc>
          <w:tcPr>
            <w:tcW w:w="660" w:type="dxa"/>
            <w:vAlign w:val="bottom"/>
            <w:shd w:val="clear" w:color="auto" w:fill="ECE8EF"/>
          </w:tcPr>
          <w:p>
            <w:pPr>
              <w:spacing w:after="0"/>
              <w:rPr>
                <w:sz w:val="8"/>
                <w:szCs w:val="8"/>
                <w:color w:val="auto"/>
              </w:rPr>
            </w:pPr>
          </w:p>
        </w:tc>
        <w:tc>
          <w:tcPr>
            <w:tcW w:w="1880" w:type="dxa"/>
            <w:vAlign w:val="bottom"/>
            <w:vMerge w:val="continue"/>
            <w:shd w:val="clear" w:color="auto" w:fill="ECE8EF"/>
          </w:tcPr>
          <w:p>
            <w:pPr>
              <w:spacing w:after="0"/>
              <w:rPr>
                <w:sz w:val="8"/>
                <w:szCs w:val="8"/>
                <w:color w:val="auto"/>
              </w:rPr>
            </w:pPr>
          </w:p>
        </w:tc>
        <w:tc>
          <w:tcPr>
            <w:tcW w:w="1000" w:type="dxa"/>
            <w:vAlign w:val="bottom"/>
            <w:shd w:val="clear" w:color="auto" w:fill="ECE8EF"/>
          </w:tcPr>
          <w:p>
            <w:pPr>
              <w:spacing w:after="0"/>
              <w:rPr>
                <w:sz w:val="8"/>
                <w:szCs w:val="8"/>
                <w:color w:val="auto"/>
              </w:rPr>
            </w:pPr>
          </w:p>
        </w:tc>
        <w:tc>
          <w:tcPr>
            <w:tcW w:w="2180" w:type="dxa"/>
            <w:vAlign w:val="bottom"/>
            <w:vMerge w:val="continue"/>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2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60" w:type="dxa"/>
            <w:vAlign w:val="bottom"/>
            <w:shd w:val="clear" w:color="auto" w:fill="ECE8EF"/>
          </w:tcPr>
          <w:p>
            <w:pPr>
              <w:spacing w:after="0"/>
              <w:rPr>
                <w:sz w:val="8"/>
                <w:szCs w:val="8"/>
                <w:color w:val="auto"/>
              </w:rPr>
            </w:pPr>
          </w:p>
        </w:tc>
        <w:tc>
          <w:tcPr>
            <w:tcW w:w="1880" w:type="dxa"/>
            <w:vAlign w:val="bottom"/>
            <w:shd w:val="clear" w:color="auto" w:fill="ECE8EF"/>
          </w:tcPr>
          <w:p>
            <w:pPr>
              <w:spacing w:after="0"/>
              <w:rPr>
                <w:sz w:val="8"/>
                <w:szCs w:val="8"/>
                <w:color w:val="auto"/>
              </w:rPr>
            </w:pPr>
          </w:p>
        </w:tc>
        <w:tc>
          <w:tcPr>
            <w:tcW w:w="1000" w:type="dxa"/>
            <w:vAlign w:val="bottom"/>
            <w:shd w:val="clear" w:color="auto" w:fill="ECE8EF"/>
          </w:tcPr>
          <w:p>
            <w:pPr>
              <w:spacing w:after="0"/>
              <w:rPr>
                <w:sz w:val="8"/>
                <w:szCs w:val="8"/>
                <w:color w:val="auto"/>
              </w:rPr>
            </w:pPr>
          </w:p>
        </w:tc>
        <w:tc>
          <w:tcPr>
            <w:tcW w:w="2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Financial Technology</w:t>
            </w:r>
          </w:p>
        </w:tc>
        <w:tc>
          <w:tcPr>
            <w:tcW w:w="660" w:type="dxa"/>
            <w:vAlign w:val="bottom"/>
            <w:shd w:val="clear" w:color="auto" w:fill="ECE8EF"/>
          </w:tcPr>
          <w:p>
            <w:pPr>
              <w:spacing w:after="0"/>
              <w:rPr>
                <w:sz w:val="24"/>
                <w:szCs w:val="24"/>
                <w:color w:val="auto"/>
              </w:rPr>
            </w:pPr>
          </w:p>
        </w:tc>
        <w:tc>
          <w:tcPr>
            <w:tcW w:w="1880" w:type="dxa"/>
            <w:vAlign w:val="bottom"/>
            <w:shd w:val="clear" w:color="auto" w:fill="ECE8EF"/>
          </w:tcPr>
          <w:p>
            <w:pPr>
              <w:ind w:left="20"/>
              <w:spacing w:after="0"/>
              <w:rPr>
                <w:sz w:val="20"/>
                <w:szCs w:val="20"/>
                <w:color w:val="auto"/>
              </w:rPr>
            </w:pPr>
            <w:r>
              <w:rPr>
                <w:rFonts w:ascii="Arial" w:cs="Arial" w:eastAsia="Arial" w:hAnsi="Arial"/>
                <w:sz w:val="14"/>
                <w:szCs w:val="14"/>
                <w:color w:val="auto"/>
              </w:rPr>
              <w:t>Banking/Financial Services</w:t>
            </w:r>
          </w:p>
        </w:tc>
        <w:tc>
          <w:tcPr>
            <w:tcW w:w="1000" w:type="dxa"/>
            <w:vAlign w:val="bottom"/>
            <w:shd w:val="clear" w:color="auto" w:fill="ECE8EF"/>
          </w:tcPr>
          <w:p>
            <w:pPr>
              <w:spacing w:after="0"/>
              <w:rPr>
                <w:sz w:val="24"/>
                <w:szCs w:val="24"/>
                <w:color w:val="auto"/>
              </w:rPr>
            </w:pPr>
          </w:p>
        </w:tc>
        <w:tc>
          <w:tcPr>
            <w:tcW w:w="2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spacing w:after="0"/>
              <w:rPr>
                <w:sz w:val="24"/>
                <w:szCs w:val="24"/>
                <w:color w:val="auto"/>
              </w:rPr>
            </w:pPr>
          </w:p>
        </w:tc>
        <w:tc>
          <w:tcPr>
            <w:tcW w:w="660" w:type="dxa"/>
            <w:vAlign w:val="bottom"/>
            <w:shd w:val="clear" w:color="auto" w:fill="ECE8EF"/>
          </w:tcPr>
          <w:p>
            <w:pPr>
              <w:spacing w:after="0"/>
              <w:rPr>
                <w:sz w:val="24"/>
                <w:szCs w:val="24"/>
                <w:color w:val="auto"/>
              </w:rPr>
            </w:pPr>
          </w:p>
        </w:tc>
        <w:tc>
          <w:tcPr>
            <w:tcW w:w="1880" w:type="dxa"/>
            <w:vAlign w:val="bottom"/>
            <w:shd w:val="clear" w:color="auto" w:fill="ECE8EF"/>
          </w:tcPr>
          <w:p>
            <w:pPr>
              <w:spacing w:after="0"/>
              <w:rPr>
                <w:sz w:val="24"/>
                <w:szCs w:val="24"/>
                <w:color w:val="auto"/>
              </w:rPr>
            </w:pPr>
          </w:p>
        </w:tc>
        <w:tc>
          <w:tcPr>
            <w:tcW w:w="1000" w:type="dxa"/>
            <w:vAlign w:val="bottom"/>
            <w:shd w:val="clear" w:color="auto" w:fill="ECE8EF"/>
          </w:tcPr>
          <w:p>
            <w:pPr>
              <w:spacing w:after="0"/>
              <w:rPr>
                <w:sz w:val="24"/>
                <w:szCs w:val="24"/>
                <w:color w:val="auto"/>
              </w:rPr>
            </w:pPr>
          </w:p>
        </w:tc>
        <w:tc>
          <w:tcPr>
            <w:tcW w:w="2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b w:val="1"/>
          <w:bCs w:val="1"/>
          <w:color w:val="431C5B"/>
        </w:rPr>
        <w:t>Experience</w:t>
      </w:r>
    </w:p>
    <w:p>
      <w:pPr>
        <w:spacing w:after="0" w:line="127" w:lineRule="exact"/>
        <w:rPr>
          <w:sz w:val="20"/>
          <w:szCs w:val="20"/>
          <w:color w:val="auto"/>
        </w:rPr>
      </w:pPr>
    </w:p>
    <w:p>
      <w:pPr>
        <w:ind w:left="520" w:hanging="196"/>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Chief Executive Officer, Retirement Solutions (2024 – present), Senior Executive Vice President (2022 – 2024), </w:t>
      </w:r>
      <w:r>
        <w:rPr>
          <w:rFonts w:ascii="Arial" w:cs="Arial" w:eastAsia="Arial" w:hAnsi="Arial"/>
          <w:sz w:val="14"/>
          <w:szCs w:val="14"/>
          <w:b w:val="1"/>
          <w:bCs w:val="1"/>
          <w:color w:val="auto"/>
        </w:rPr>
        <w:t>TIAA</w:t>
      </w:r>
    </w:p>
    <w:p>
      <w:pPr>
        <w:spacing w:after="0" w:line="82" w:lineRule="exact"/>
        <w:rPr>
          <w:rFonts w:ascii="Arial" w:cs="Arial" w:eastAsia="Arial" w:hAnsi="Arial"/>
          <w:sz w:val="14"/>
          <w:szCs w:val="14"/>
          <w:color w:val="auto"/>
        </w:rPr>
      </w:pPr>
    </w:p>
    <w:p>
      <w:pPr>
        <w:ind w:left="520" w:right="359" w:hanging="196"/>
        <w:spacing w:after="0" w:line="325"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Executive Vice Chairman (2022 – 2022, President (2016 – 2022), Head of the Fixed Income Division (2015 – 2016), Head of the Equity Division (2005 – 2015), Loop Capital Markets</w:t>
      </w:r>
    </w:p>
    <w:p>
      <w:pPr>
        <w:spacing w:after="0" w:line="310" w:lineRule="exact"/>
        <w:rPr>
          <w:sz w:val="20"/>
          <w:szCs w:val="20"/>
          <w:color w:val="auto"/>
        </w:rPr>
      </w:pPr>
    </w:p>
    <w:tbl>
      <w:tblPr>
        <w:tblLayout w:type="fixed"/>
        <w:tblInd w:w="320" w:type="dxa"/>
        <w:tblCellMar>
          <w:top w:w="0" w:type="dxa"/>
          <w:left w:w="0" w:type="dxa"/>
          <w:bottom w:w="0" w:type="dxa"/>
          <w:right w:w="0" w:type="dxa"/>
        </w:tblCellMar>
      </w:tblPr>
      <w:tr>
        <w:trPr>
          <w:trHeight w:val="247"/>
        </w:trPr>
        <w:tc>
          <w:tcPr>
            <w:tcW w:w="3920" w:type="dxa"/>
            <w:vAlign w:val="bottom"/>
            <w:gridSpan w:val="2"/>
          </w:tcPr>
          <w:p>
            <w:pPr>
              <w:spacing w:after="0"/>
              <w:rPr>
                <w:sz w:val="20"/>
                <w:szCs w:val="20"/>
                <w:color w:val="auto"/>
              </w:rPr>
            </w:pPr>
            <w:r>
              <w:rPr>
                <w:rFonts w:ascii="Arial" w:cs="Arial" w:eastAsia="Arial" w:hAnsi="Arial"/>
                <w:sz w:val="18"/>
                <w:szCs w:val="18"/>
                <w:b w:val="1"/>
                <w:bCs w:val="1"/>
                <w:color w:val="431C5B"/>
              </w:rPr>
              <w:t>Other Public Company Boards (Current)</w:t>
            </w:r>
          </w:p>
        </w:tc>
        <w:tc>
          <w:tcPr>
            <w:tcW w:w="4420" w:type="dxa"/>
            <w:vAlign w:val="bottom"/>
            <w:gridSpan w:val="2"/>
          </w:tcPr>
          <w:p>
            <w:pPr>
              <w:ind w:left="500"/>
              <w:spacing w:after="0"/>
              <w:rPr>
                <w:sz w:val="20"/>
                <w:szCs w:val="20"/>
                <w:color w:val="auto"/>
              </w:rPr>
            </w:pPr>
            <w:r>
              <w:rPr>
                <w:rFonts w:ascii="Arial" w:cs="Arial" w:eastAsia="Arial" w:hAnsi="Arial"/>
                <w:sz w:val="18"/>
                <w:szCs w:val="18"/>
                <w:b w:val="1"/>
                <w:bCs w:val="1"/>
                <w:color w:val="431C5B"/>
              </w:rPr>
              <w:t>Education</w:t>
            </w:r>
          </w:p>
        </w:tc>
        <w:tc>
          <w:tcPr>
            <w:tcW w:w="0" w:type="dxa"/>
            <w:vAlign w:val="bottom"/>
          </w:tcPr>
          <w:p>
            <w:pPr>
              <w:spacing w:after="0"/>
              <w:rPr>
                <w:sz w:val="1"/>
                <w:szCs w:val="1"/>
                <w:color w:val="auto"/>
              </w:rPr>
            </w:pPr>
          </w:p>
        </w:tc>
      </w:tr>
      <w:tr>
        <w:trPr>
          <w:trHeight w:val="277"/>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0" w:type="dxa"/>
            <w:vAlign w:val="bottom"/>
          </w:tcPr>
          <w:p>
            <w:pPr>
              <w:ind w:left="80"/>
              <w:spacing w:after="0"/>
              <w:rPr>
                <w:sz w:val="20"/>
                <w:szCs w:val="20"/>
                <w:color w:val="auto"/>
              </w:rPr>
            </w:pPr>
            <w:r>
              <w:rPr>
                <w:rFonts w:ascii="Arial" w:cs="Arial" w:eastAsia="Arial" w:hAnsi="Arial"/>
                <w:sz w:val="14"/>
                <w:szCs w:val="14"/>
                <w:color w:val="auto"/>
              </w:rPr>
              <w:t>MarketAxess Holdings, Inc. (2020 – present)</w:t>
            </w:r>
          </w:p>
        </w:tc>
        <w:tc>
          <w:tcPr>
            <w:tcW w:w="620" w:type="dxa"/>
            <w:vAlign w:val="bottom"/>
          </w:tcPr>
          <w:p>
            <w:pPr>
              <w:ind w:left="500"/>
              <w:spacing w:after="0"/>
              <w:rPr>
                <w:sz w:val="20"/>
                <w:szCs w:val="20"/>
                <w:color w:val="auto"/>
              </w:rPr>
            </w:pPr>
            <w:r>
              <w:rPr>
                <w:rFonts w:ascii="Arial" w:cs="Arial" w:eastAsia="Arial" w:hAnsi="Arial"/>
                <w:sz w:val="14"/>
                <w:szCs w:val="14"/>
                <w:color w:val="auto"/>
              </w:rPr>
              <w:t>•</w:t>
            </w:r>
          </w:p>
        </w:tc>
        <w:tc>
          <w:tcPr>
            <w:tcW w:w="3800" w:type="dxa"/>
            <w:vAlign w:val="bottom"/>
          </w:tcPr>
          <w:p>
            <w:pPr>
              <w:ind w:left="80"/>
              <w:spacing w:after="0"/>
              <w:rPr>
                <w:sz w:val="20"/>
                <w:szCs w:val="20"/>
                <w:color w:val="auto"/>
              </w:rPr>
            </w:pPr>
            <w:r>
              <w:rPr>
                <w:rFonts w:ascii="Arial" w:cs="Arial" w:eastAsia="Arial" w:hAnsi="Arial"/>
                <w:sz w:val="14"/>
                <w:szCs w:val="14"/>
                <w:color w:val="auto"/>
              </w:rPr>
              <w:t>BA, International Finance, University of Miami</w:t>
            </w:r>
          </w:p>
        </w:tc>
        <w:tc>
          <w:tcPr>
            <w:tcW w:w="0" w:type="dxa"/>
            <w:vAlign w:val="bottom"/>
          </w:tcPr>
          <w:p>
            <w:pPr>
              <w:spacing w:after="0"/>
              <w:rPr>
                <w:sz w:val="1"/>
                <w:szCs w:val="1"/>
                <w:color w:val="auto"/>
              </w:rPr>
            </w:pPr>
          </w:p>
        </w:tc>
      </w:tr>
      <w:tr>
        <w:trPr>
          <w:trHeight w:val="242"/>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431C5B"/>
              </w:rPr>
              <w:t>Other Public Company Boards (Former)</w:t>
            </w:r>
          </w:p>
        </w:tc>
        <w:tc>
          <w:tcPr>
            <w:tcW w:w="620" w:type="dxa"/>
            <w:vAlign w:val="bottom"/>
          </w:tcPr>
          <w:p>
            <w:pPr>
              <w:ind w:left="500"/>
              <w:spacing w:after="0"/>
              <w:rPr>
                <w:sz w:val="20"/>
                <w:szCs w:val="20"/>
                <w:color w:val="auto"/>
              </w:rPr>
            </w:pPr>
            <w:r>
              <w:rPr>
                <w:rFonts w:ascii="Arial" w:cs="Arial" w:eastAsia="Arial" w:hAnsi="Arial"/>
                <w:sz w:val="14"/>
                <w:szCs w:val="14"/>
                <w:color w:val="auto"/>
              </w:rPr>
              <w:t>•</w:t>
            </w:r>
          </w:p>
        </w:tc>
        <w:tc>
          <w:tcPr>
            <w:tcW w:w="3800" w:type="dxa"/>
            <w:vAlign w:val="bottom"/>
          </w:tcPr>
          <w:p>
            <w:pPr>
              <w:ind w:left="80"/>
              <w:spacing w:after="0"/>
              <w:rPr>
                <w:sz w:val="20"/>
                <w:szCs w:val="20"/>
                <w:color w:val="auto"/>
              </w:rPr>
            </w:pPr>
            <w:r>
              <w:rPr>
                <w:rFonts w:ascii="Arial" w:cs="Arial" w:eastAsia="Arial" w:hAnsi="Arial"/>
                <w:sz w:val="14"/>
                <w:szCs w:val="14"/>
                <w:color w:val="auto"/>
              </w:rPr>
              <w:t>MBA, Business Administration, Management and General,</w:t>
            </w:r>
          </w:p>
        </w:tc>
        <w:tc>
          <w:tcPr>
            <w:tcW w:w="0" w:type="dxa"/>
            <w:vAlign w:val="bottom"/>
          </w:tcPr>
          <w:p>
            <w:pPr>
              <w:spacing w:after="0"/>
              <w:rPr>
                <w:sz w:val="1"/>
                <w:szCs w:val="1"/>
                <w:color w:val="auto"/>
              </w:rPr>
            </w:pPr>
          </w:p>
        </w:tc>
      </w:tr>
      <w:tr>
        <w:trPr>
          <w:trHeight w:val="190"/>
        </w:trPr>
        <w:tc>
          <w:tcPr>
            <w:tcW w:w="39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3800" w:type="dxa"/>
            <w:vAlign w:val="bottom"/>
          </w:tcPr>
          <w:p>
            <w:pPr>
              <w:ind w:left="80"/>
              <w:spacing w:after="0"/>
              <w:rPr>
                <w:sz w:val="20"/>
                <w:szCs w:val="20"/>
                <w:color w:val="auto"/>
              </w:rPr>
            </w:pPr>
            <w:r>
              <w:rPr>
                <w:rFonts w:ascii="Arial" w:cs="Arial" w:eastAsia="Arial" w:hAnsi="Arial"/>
                <w:sz w:val="14"/>
                <w:szCs w:val="14"/>
                <w:color w:val="auto"/>
              </w:rPr>
              <w:t>Northwestern University Kellogg School of Management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0" w:type="dxa"/>
            <w:vAlign w:val="bottom"/>
          </w:tcPr>
          <w:p>
            <w:pPr>
              <w:ind w:left="80"/>
              <w:spacing w:after="0"/>
              <w:rPr>
                <w:sz w:val="20"/>
                <w:szCs w:val="20"/>
                <w:color w:val="auto"/>
              </w:rPr>
            </w:pPr>
            <w:r>
              <w:rPr>
                <w:rFonts w:ascii="Arial" w:cs="Arial" w:eastAsia="Arial" w:hAnsi="Arial"/>
                <w:sz w:val="14"/>
                <w:szCs w:val="14"/>
                <w:color w:val="auto"/>
              </w:rPr>
              <w:t>Lululemon Athletica, Inc. (2020 – 2023)</w:t>
            </w:r>
          </w:p>
        </w:tc>
        <w:tc>
          <w:tcPr>
            <w:tcW w:w="6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23</w:t>
      </w:r>
    </w:p>
    <w:p>
      <w:pPr>
        <w:sectPr>
          <w:pgSz w:w="11900" w:h="16838" w:orient="portrait"/>
          <w:cols w:equalWidth="0" w:num="1">
            <w:col w:w="9019"/>
          </w:cols>
          <w:pgMar w:left="1440" w:top="657" w:right="1440" w:bottom="1440" w:gutter="0" w:footer="0" w:header="0"/>
          <w:type w:val="continuous"/>
        </w:sectPr>
      </w:pPr>
    </w:p>
    <w:bookmarkStart w:id="26" w:name="page27"/>
    <w:bookmarkEnd w:id="26"/>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60"/>
        <w:spacing w:after="0"/>
        <w:rPr>
          <w:sz w:val="20"/>
          <w:szCs w:val="20"/>
          <w:color w:val="auto"/>
        </w:rPr>
      </w:pPr>
      <w:r>
        <w:rPr>
          <w:rFonts w:ascii="Arial" w:cs="Arial" w:eastAsia="Arial" w:hAnsi="Arial"/>
          <w:sz w:val="27"/>
          <w:szCs w:val="27"/>
          <w:b w:val="1"/>
          <w:bCs w:val="1"/>
          <w:color w:val="431C5B"/>
        </w:rPr>
        <w:t>Lisa A. Hook</w:t>
      </w:r>
    </w:p>
    <w:p>
      <w:pPr>
        <w:spacing w:after="0" w:line="48"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431C5B"/>
        </w:rPr>
        <w:t>Independent Director</w:t>
      </w:r>
    </w:p>
    <w:p>
      <w:pPr>
        <w:spacing w:after="0" w:line="163" w:lineRule="exact"/>
        <w:rPr>
          <w:sz w:val="20"/>
          <w:szCs w:val="20"/>
          <w:color w:val="auto"/>
        </w:rPr>
      </w:pPr>
    </w:p>
    <w:p>
      <w:pPr>
        <w:ind w:left="2360"/>
        <w:spacing w:after="0"/>
        <w:tabs>
          <w:tab w:leader="none" w:pos="5720" w:val="left"/>
        </w:tabs>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auto"/>
        </w:rPr>
        <w:t>68</w:t>
      </w:r>
      <w:r>
        <w:rPr>
          <w:rFonts w:ascii="Arial" w:cs="Arial" w:eastAsia="Arial" w:hAnsi="Arial"/>
          <w:sz w:val="14"/>
          <w:szCs w:val="14"/>
          <w:color w:val="auto"/>
        </w:rPr>
        <w:t xml:space="preserve"> | Director since: </w:t>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color w:val="auto"/>
        </w:rPr>
        <w:t xml:space="preserve">Committee Member: </w:t>
      </w:r>
      <w:r>
        <w:rPr>
          <w:rFonts w:ascii="Arial" w:cs="Arial" w:eastAsia="Arial" w:hAnsi="Arial"/>
          <w:sz w:val="14"/>
          <w:szCs w:val="14"/>
          <w:b w:val="1"/>
          <w:bCs w:val="1"/>
          <w:color w:val="auto"/>
        </w:rPr>
        <w:t>Audit, Executive</w:t>
      </w:r>
    </w:p>
    <w:p>
      <w:pPr>
        <w:spacing w:after="0" w:line="123" w:lineRule="exact"/>
        <w:rPr>
          <w:sz w:val="20"/>
          <w:szCs w:val="20"/>
          <w:color w:val="auto"/>
        </w:rPr>
      </w:pPr>
    </w:p>
    <w:p>
      <w:pPr>
        <w:ind w:left="2360"/>
        <w:spacing w:after="0"/>
        <w:tabs>
          <w:tab w:leader="none" w:pos="5720" w:val="left"/>
        </w:tabs>
        <w:rPr>
          <w:sz w:val="20"/>
          <w:szCs w:val="20"/>
          <w:color w:val="auto"/>
        </w:rPr>
      </w:pPr>
      <w:r>
        <w:rPr>
          <w:rFonts w:ascii="Arial" w:cs="Arial" w:eastAsia="Arial" w:hAnsi="Arial"/>
          <w:sz w:val="14"/>
          <w:szCs w:val="14"/>
          <w:color w:val="auto"/>
        </w:rPr>
        <w:t xml:space="preserve">Committee Chair: </w:t>
      </w:r>
      <w:r>
        <w:rPr>
          <w:rFonts w:ascii="Arial" w:cs="Arial" w:eastAsia="Arial" w:hAnsi="Arial"/>
          <w:sz w:val="14"/>
          <w:szCs w:val="14"/>
          <w:b w:val="1"/>
          <w:bCs w:val="1"/>
          <w:color w:val="auto"/>
        </w:rPr>
        <w:t>Risk and Technology</w:t>
      </w:r>
      <w:r>
        <w:rPr>
          <w:sz w:val="20"/>
          <w:szCs w:val="20"/>
          <w:color w:val="auto"/>
        </w:rPr>
        <w:tab/>
      </w:r>
      <w:r>
        <w:rPr>
          <w:rFonts w:ascii="Arial" w:cs="Arial" w:eastAsia="Arial" w:hAnsi="Arial"/>
          <w:sz w:val="14"/>
          <w:szCs w:val="14"/>
          <w:color w:val="auto"/>
        </w:rPr>
        <w:t>Other Current Public Company Boards: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31C5B"/>
        </w:rPr>
        <w:t>Skills and Qualifications</w:t>
      </w:r>
    </w:p>
    <w:p>
      <w:pPr>
        <w:spacing w:after="0" w:line="48" w:lineRule="exact"/>
        <w:rPr>
          <w:sz w:val="20"/>
          <w:szCs w:val="20"/>
          <w:color w:val="auto"/>
        </w:rPr>
      </w:pPr>
    </w:p>
    <w:tbl>
      <w:tblPr>
        <w:tblLayout w:type="fixed"/>
        <w:tblInd w:w="300" w:type="dxa"/>
        <w:tblCellMar>
          <w:top w:w="0" w:type="dxa"/>
          <w:left w:w="0" w:type="dxa"/>
          <w:bottom w:w="0" w:type="dxa"/>
          <w:right w:w="0" w:type="dxa"/>
        </w:tblCellMar>
      </w:tblPr>
      <w:tr>
        <w:trPr>
          <w:trHeight w:val="34"/>
        </w:trPr>
        <w:tc>
          <w:tcPr>
            <w:tcW w:w="640" w:type="dxa"/>
            <w:vAlign w:val="bottom"/>
            <w:shd w:val="clear" w:color="auto" w:fill="ECE8EF"/>
          </w:tcPr>
          <w:p>
            <w:pPr>
              <w:spacing w:after="0"/>
              <w:rPr>
                <w:sz w:val="2"/>
                <w:szCs w:val="2"/>
                <w:color w:val="auto"/>
              </w:rPr>
            </w:pPr>
          </w:p>
        </w:tc>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3"/>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Executive Leadership</w:t>
            </w:r>
          </w:p>
        </w:tc>
        <w:tc>
          <w:tcPr>
            <w:tcW w:w="640" w:type="dxa"/>
            <w:vAlign w:val="bottom"/>
            <w:shd w:val="clear" w:color="auto" w:fill="ECE8EF"/>
          </w:tcPr>
          <w:p>
            <w:pPr>
              <w:spacing w:after="0"/>
              <w:rPr>
                <w:sz w:val="24"/>
                <w:szCs w:val="24"/>
                <w:color w:val="auto"/>
              </w:rPr>
            </w:pPr>
          </w:p>
        </w:tc>
        <w:tc>
          <w:tcPr>
            <w:tcW w:w="2900" w:type="dxa"/>
            <w:vAlign w:val="bottom"/>
            <w:gridSpan w:val="2"/>
            <w:shd w:val="clear" w:color="auto" w:fill="ECE8EF"/>
          </w:tcPr>
          <w:p>
            <w:pPr>
              <w:ind w:left="40"/>
              <w:spacing w:after="0"/>
              <w:rPr>
                <w:sz w:val="20"/>
                <w:szCs w:val="20"/>
                <w:color w:val="auto"/>
              </w:rPr>
            </w:pPr>
            <w:r>
              <w:rPr>
                <w:rFonts w:ascii="Arial" w:cs="Arial" w:eastAsia="Arial" w:hAnsi="Arial"/>
                <w:sz w:val="14"/>
                <w:szCs w:val="14"/>
                <w:color w:val="auto"/>
              </w:rPr>
              <w:t>Global Business Experience</w:t>
            </w: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Financial Expertise</w:t>
            </w:r>
          </w:p>
        </w:tc>
        <w:tc>
          <w:tcPr>
            <w:tcW w:w="0" w:type="dxa"/>
            <w:vAlign w:val="bottom"/>
          </w:tcPr>
          <w:p>
            <w:pPr>
              <w:spacing w:after="0"/>
              <w:rPr>
                <w:sz w:val="1"/>
                <w:szCs w:val="1"/>
                <w:color w:val="auto"/>
              </w:rPr>
            </w:pPr>
          </w:p>
        </w:tc>
      </w:tr>
      <w:tr>
        <w:trPr>
          <w:trHeight w:val="444"/>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Public Company</w:t>
            </w:r>
          </w:p>
        </w:tc>
        <w:tc>
          <w:tcPr>
            <w:tcW w:w="640" w:type="dxa"/>
            <w:vAlign w:val="bottom"/>
            <w:shd w:val="clear" w:color="auto" w:fill="ECE8EF"/>
          </w:tcPr>
          <w:p>
            <w:pPr>
              <w:spacing w:after="0"/>
              <w:rPr>
                <w:sz w:val="24"/>
                <w:szCs w:val="24"/>
                <w:color w:val="auto"/>
              </w:rPr>
            </w:pPr>
          </w:p>
        </w:tc>
        <w:tc>
          <w:tcPr>
            <w:tcW w:w="226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Human Capital Management</w:t>
            </w:r>
          </w:p>
        </w:tc>
        <w:tc>
          <w:tcPr>
            <w:tcW w:w="640" w:type="dxa"/>
            <w:vAlign w:val="bottom"/>
            <w:shd w:val="clear" w:color="auto" w:fill="ECE8EF"/>
          </w:tcPr>
          <w:p>
            <w:pPr>
              <w:spacing w:after="0"/>
              <w:rPr>
                <w:sz w:val="24"/>
                <w:szCs w:val="24"/>
                <w:color w:val="auto"/>
              </w:rPr>
            </w:pP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Enterprise Risk Management/</w:t>
            </w:r>
          </w:p>
        </w:tc>
        <w:tc>
          <w:tcPr>
            <w:tcW w:w="0" w:type="dxa"/>
            <w:vAlign w:val="bottom"/>
          </w:tcPr>
          <w:p>
            <w:pPr>
              <w:spacing w:after="0"/>
              <w:rPr>
                <w:sz w:val="1"/>
                <w:szCs w:val="1"/>
                <w:color w:val="auto"/>
              </w:rPr>
            </w:pPr>
          </w:p>
        </w:tc>
      </w:tr>
      <w:tr>
        <w:trPr>
          <w:trHeight w:val="96"/>
        </w:trPr>
        <w:tc>
          <w:tcPr>
            <w:tcW w:w="64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Board Experience</w:t>
            </w:r>
          </w:p>
        </w:tc>
        <w:tc>
          <w:tcPr>
            <w:tcW w:w="640" w:type="dxa"/>
            <w:vAlign w:val="bottom"/>
            <w:shd w:val="clear" w:color="auto" w:fill="ECE8EF"/>
          </w:tcPr>
          <w:p>
            <w:pPr>
              <w:spacing w:after="0"/>
              <w:rPr>
                <w:sz w:val="8"/>
                <w:szCs w:val="8"/>
                <w:color w:val="auto"/>
              </w:rPr>
            </w:pPr>
          </w:p>
        </w:tc>
        <w:tc>
          <w:tcPr>
            <w:tcW w:w="226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restart"/>
            <w:shd w:val="clear" w:color="auto" w:fill="ECE8EF"/>
          </w:tcPr>
          <w:p>
            <w:pPr>
              <w:ind w:left="60"/>
              <w:spacing w:after="0"/>
              <w:rPr>
                <w:sz w:val="20"/>
                <w:szCs w:val="20"/>
                <w:color w:val="auto"/>
              </w:rPr>
            </w:pPr>
            <w:r>
              <w:rPr>
                <w:rFonts w:ascii="Arial" w:cs="Arial" w:eastAsia="Arial" w:hAnsi="Arial"/>
                <w:sz w:val="14"/>
                <w:szCs w:val="14"/>
                <w:color w:val="auto"/>
              </w:rPr>
              <w:t>Information Security</w:t>
            </w:r>
          </w:p>
        </w:tc>
        <w:tc>
          <w:tcPr>
            <w:tcW w:w="0" w:type="dxa"/>
            <w:vAlign w:val="bottom"/>
          </w:tcPr>
          <w:p>
            <w:pPr>
              <w:spacing w:after="0"/>
              <w:rPr>
                <w:sz w:val="1"/>
                <w:szCs w:val="1"/>
                <w:color w:val="auto"/>
              </w:rPr>
            </w:pPr>
          </w:p>
        </w:tc>
      </w:tr>
      <w:tr>
        <w:trPr>
          <w:trHeight w:val="94"/>
        </w:trPr>
        <w:tc>
          <w:tcPr>
            <w:tcW w:w="64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continue"/>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Mergers and Acquisitions/</w:t>
            </w:r>
          </w:p>
        </w:tc>
        <w:tc>
          <w:tcPr>
            <w:tcW w:w="640" w:type="dxa"/>
            <w:vAlign w:val="bottom"/>
            <w:shd w:val="clear" w:color="auto" w:fill="ECE8EF"/>
          </w:tcPr>
          <w:p>
            <w:pPr>
              <w:spacing w:after="0"/>
              <w:rPr>
                <w:sz w:val="24"/>
                <w:szCs w:val="24"/>
                <w:color w:val="auto"/>
              </w:rPr>
            </w:pPr>
          </w:p>
        </w:tc>
        <w:tc>
          <w:tcPr>
            <w:tcW w:w="226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Government and Regulatory</w:t>
            </w:r>
          </w:p>
        </w:tc>
        <w:tc>
          <w:tcPr>
            <w:tcW w:w="640" w:type="dxa"/>
            <w:vAlign w:val="bottom"/>
            <w:shd w:val="clear" w:color="auto" w:fill="ECE8EF"/>
          </w:tcPr>
          <w:p>
            <w:pPr>
              <w:spacing w:after="0"/>
              <w:rPr>
                <w:sz w:val="24"/>
                <w:szCs w:val="24"/>
                <w:color w:val="auto"/>
              </w:rPr>
            </w:pPr>
          </w:p>
        </w:tc>
        <w:tc>
          <w:tcPr>
            <w:tcW w:w="2000" w:type="dxa"/>
            <w:vAlign w:val="bottom"/>
            <w:vMerge w:val="restart"/>
            <w:shd w:val="clear" w:color="auto" w:fill="ECE8EF"/>
          </w:tcPr>
          <w:p>
            <w:pPr>
              <w:ind w:left="60"/>
              <w:spacing w:after="0"/>
              <w:rPr>
                <w:sz w:val="20"/>
                <w:szCs w:val="20"/>
                <w:color w:val="auto"/>
              </w:rPr>
            </w:pPr>
            <w:r>
              <w:rPr>
                <w:rFonts w:ascii="Arial" w:cs="Arial" w:eastAsia="Arial" w:hAnsi="Arial"/>
                <w:sz w:val="14"/>
                <w:szCs w:val="14"/>
                <w:color w:val="auto"/>
              </w:rPr>
              <w:t>Sustainability</w:t>
            </w: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64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Capital Allocation</w:t>
            </w:r>
          </w:p>
        </w:tc>
        <w:tc>
          <w:tcPr>
            <w:tcW w:w="640" w:type="dxa"/>
            <w:vAlign w:val="bottom"/>
            <w:shd w:val="clear" w:color="auto" w:fill="ECE8EF"/>
          </w:tcPr>
          <w:p>
            <w:pPr>
              <w:spacing w:after="0"/>
              <w:rPr>
                <w:sz w:val="8"/>
                <w:szCs w:val="8"/>
                <w:color w:val="auto"/>
              </w:rPr>
            </w:pPr>
          </w:p>
        </w:tc>
        <w:tc>
          <w:tcPr>
            <w:tcW w:w="226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vMerge w:val="continue"/>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4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640" w:type="dxa"/>
            <w:vAlign w:val="bottom"/>
            <w:shd w:val="clear" w:color="auto" w:fill="ECE8EF"/>
          </w:tcPr>
          <w:p>
            <w:pPr>
              <w:spacing w:after="0"/>
              <w:rPr>
                <w:sz w:val="24"/>
                <w:szCs w:val="24"/>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Technology</w:t>
            </w:r>
          </w:p>
        </w:tc>
        <w:tc>
          <w:tcPr>
            <w:tcW w:w="640" w:type="dxa"/>
            <w:vAlign w:val="bottom"/>
            <w:shd w:val="clear" w:color="auto" w:fill="ECE8EF"/>
          </w:tcPr>
          <w:p>
            <w:pPr>
              <w:spacing w:after="0"/>
              <w:rPr>
                <w:sz w:val="24"/>
                <w:szCs w:val="24"/>
                <w:color w:val="auto"/>
              </w:rPr>
            </w:pPr>
          </w:p>
        </w:tc>
        <w:tc>
          <w:tcPr>
            <w:tcW w:w="226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Business Transformation</w:t>
            </w: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ind w:left="60"/>
              <w:spacing w:after="0"/>
              <w:rPr>
                <w:sz w:val="20"/>
                <w:szCs w:val="20"/>
                <w:color w:val="auto"/>
              </w:rPr>
            </w:pPr>
            <w:r>
              <w:rPr>
                <w:rFonts w:ascii="Arial" w:cs="Arial" w:eastAsia="Arial" w:hAnsi="Arial"/>
                <w:sz w:val="14"/>
                <w:szCs w:val="14"/>
                <w:color w:val="auto"/>
              </w:rPr>
              <w:t>Digital Transformation</w:t>
            </w: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64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vMerge w:val="restart"/>
            <w:shd w:val="clear" w:color="auto" w:fill="ECE8EF"/>
          </w:tcPr>
          <w:p>
            <w:pPr>
              <w:ind w:left="60"/>
              <w:spacing w:after="0"/>
              <w:rPr>
                <w:sz w:val="20"/>
                <w:szCs w:val="20"/>
                <w:color w:val="auto"/>
              </w:rPr>
            </w:pPr>
            <w:r>
              <w:rPr>
                <w:rFonts w:ascii="Arial" w:cs="Arial" w:eastAsia="Arial" w:hAnsi="Arial"/>
                <w:sz w:val="14"/>
                <w:szCs w:val="14"/>
                <w:color w:val="auto"/>
              </w:rPr>
              <w:t>Experience</w:t>
            </w: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40" w:type="dxa"/>
            <w:vAlign w:val="bottom"/>
            <w:shd w:val="clear" w:color="auto" w:fill="ECE8EF"/>
          </w:tcPr>
          <w:p>
            <w:pPr>
              <w:spacing w:after="0"/>
              <w:rPr>
                <w:sz w:val="8"/>
                <w:szCs w:val="8"/>
                <w:color w:val="auto"/>
              </w:rPr>
            </w:pPr>
          </w:p>
        </w:tc>
        <w:tc>
          <w:tcPr>
            <w:tcW w:w="222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vMerge w:val="continue"/>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640" w:type="dxa"/>
            <w:vAlign w:val="bottom"/>
            <w:shd w:val="clear" w:color="auto" w:fill="ECE8EF"/>
          </w:tcPr>
          <w:p>
            <w:pPr>
              <w:spacing w:after="0"/>
              <w:rPr>
                <w:sz w:val="18"/>
                <w:szCs w:val="18"/>
                <w:color w:val="auto"/>
              </w:rPr>
            </w:pPr>
          </w:p>
        </w:tc>
        <w:tc>
          <w:tcPr>
            <w:tcW w:w="2220" w:type="dxa"/>
            <w:vAlign w:val="bottom"/>
            <w:shd w:val="clear" w:color="auto" w:fill="ECE8EF"/>
          </w:tcPr>
          <w:p>
            <w:pPr>
              <w:spacing w:after="0"/>
              <w:rPr>
                <w:sz w:val="18"/>
                <w:szCs w:val="18"/>
                <w:color w:val="auto"/>
              </w:rPr>
            </w:pPr>
          </w:p>
        </w:tc>
        <w:tc>
          <w:tcPr>
            <w:tcW w:w="640" w:type="dxa"/>
            <w:vAlign w:val="bottom"/>
            <w:shd w:val="clear" w:color="auto" w:fill="ECE8EF"/>
          </w:tcPr>
          <w:p>
            <w:pPr>
              <w:spacing w:after="0"/>
              <w:rPr>
                <w:sz w:val="18"/>
                <w:szCs w:val="18"/>
                <w:color w:val="auto"/>
              </w:rPr>
            </w:pPr>
          </w:p>
        </w:tc>
        <w:tc>
          <w:tcPr>
            <w:tcW w:w="2260" w:type="dxa"/>
            <w:vAlign w:val="bottom"/>
            <w:shd w:val="clear" w:color="auto" w:fill="ECE8EF"/>
          </w:tcPr>
          <w:p>
            <w:pPr>
              <w:spacing w:after="0"/>
              <w:rPr>
                <w:sz w:val="18"/>
                <w:szCs w:val="18"/>
                <w:color w:val="auto"/>
              </w:rPr>
            </w:pPr>
          </w:p>
        </w:tc>
        <w:tc>
          <w:tcPr>
            <w:tcW w:w="640" w:type="dxa"/>
            <w:vAlign w:val="bottom"/>
            <w:shd w:val="clear" w:color="auto" w:fill="ECE8EF"/>
          </w:tcPr>
          <w:p>
            <w:pPr>
              <w:spacing w:after="0"/>
              <w:rPr>
                <w:sz w:val="18"/>
                <w:szCs w:val="18"/>
                <w:color w:val="auto"/>
              </w:rPr>
            </w:pPr>
          </w:p>
        </w:tc>
        <w:tc>
          <w:tcPr>
            <w:tcW w:w="2000" w:type="dxa"/>
            <w:vAlign w:val="bottom"/>
            <w:shd w:val="clear" w:color="auto" w:fill="ECE8EF"/>
          </w:tcPr>
          <w:p>
            <w:pPr>
              <w:spacing w:after="0"/>
              <w:rPr>
                <w:sz w:val="18"/>
                <w:szCs w:val="18"/>
                <w:color w:val="auto"/>
              </w:rPr>
            </w:pPr>
          </w:p>
        </w:tc>
        <w:tc>
          <w:tcPr>
            <w:tcW w:w="180" w:type="dxa"/>
            <w:vAlign w:val="bottom"/>
            <w:shd w:val="clear" w:color="auto" w:fill="ECE8E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431C5B"/>
        </w:rPr>
        <w:t>Experience</w:t>
      </w:r>
    </w:p>
    <w:p>
      <w:pPr>
        <w:spacing w:after="0" w:line="127" w:lineRule="exact"/>
        <w:rPr>
          <w:sz w:val="20"/>
          <w:szCs w:val="20"/>
          <w:color w:val="auto"/>
        </w:rPr>
      </w:pPr>
    </w:p>
    <w:p>
      <w:pPr>
        <w:ind w:left="520" w:hanging="196"/>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President and Chief Executive Officer (2010 – 2018), Chief Operating Officer (2008 – 2010), </w:t>
      </w:r>
      <w:r>
        <w:rPr>
          <w:rFonts w:ascii="Arial" w:cs="Arial" w:eastAsia="Arial" w:hAnsi="Arial"/>
          <w:sz w:val="14"/>
          <w:szCs w:val="14"/>
          <w:b w:val="1"/>
          <w:bCs w:val="1"/>
          <w:color w:val="auto"/>
        </w:rPr>
        <w:t>NeuStar, Inc.</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President and Chief Executive Officer, </w:t>
      </w:r>
      <w:r>
        <w:rPr>
          <w:rFonts w:ascii="Arial" w:cs="Arial" w:eastAsia="Arial" w:hAnsi="Arial"/>
          <w:sz w:val="14"/>
          <w:szCs w:val="14"/>
          <w:b w:val="1"/>
          <w:bCs w:val="1"/>
          <w:color w:val="auto"/>
        </w:rPr>
        <w:t>Sunrocket, Inc.</w:t>
      </w:r>
      <w:r>
        <w:rPr>
          <w:rFonts w:ascii="Arial" w:cs="Arial" w:eastAsia="Arial" w:hAnsi="Arial"/>
          <w:sz w:val="14"/>
          <w:szCs w:val="14"/>
          <w:color w:val="auto"/>
        </w:rPr>
        <w:t xml:space="preserve"> (2006 – 2007)</w:t>
      </w:r>
    </w:p>
    <w:p>
      <w:pPr>
        <w:spacing w:after="0" w:line="82" w:lineRule="exact"/>
        <w:rPr>
          <w:rFonts w:ascii="Arial" w:cs="Arial" w:eastAsia="Arial" w:hAnsi="Arial"/>
          <w:sz w:val="14"/>
          <w:szCs w:val="14"/>
          <w:color w:val="auto"/>
        </w:rPr>
      </w:pPr>
    </w:p>
    <w:p>
      <w:pPr>
        <w:ind w:left="520" w:right="679" w:hanging="196"/>
        <w:spacing w:after="0" w:line="322"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Held several executive-level posts including President, AOL Anywhere and President, Broadband, Premium and Developer Services, </w:t>
      </w:r>
      <w:r>
        <w:rPr>
          <w:rFonts w:ascii="Arial" w:cs="Arial" w:eastAsia="Arial" w:hAnsi="Arial"/>
          <w:sz w:val="14"/>
          <w:szCs w:val="14"/>
          <w:b w:val="1"/>
          <w:bCs w:val="1"/>
          <w:color w:val="auto"/>
        </w:rPr>
        <w:t>America Online, Inc.</w:t>
      </w:r>
      <w:r>
        <w:rPr>
          <w:rFonts w:ascii="Arial" w:cs="Arial" w:eastAsia="Arial" w:hAnsi="Arial"/>
          <w:sz w:val="14"/>
          <w:szCs w:val="14"/>
          <w:color w:val="auto"/>
        </w:rPr>
        <w:t xml:space="preserve"> (2001 – 2004)</w:t>
      </w:r>
    </w:p>
    <w:p>
      <w:pPr>
        <w:ind w:left="520" w:hanging="196"/>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Served in executive and special advisory roles, </w:t>
      </w:r>
      <w:r>
        <w:rPr>
          <w:rFonts w:ascii="Arial" w:cs="Arial" w:eastAsia="Arial" w:hAnsi="Arial"/>
          <w:sz w:val="14"/>
          <w:szCs w:val="14"/>
          <w:b w:val="1"/>
          <w:bCs w:val="1"/>
          <w:color w:val="auto"/>
        </w:rPr>
        <w:t>Time Warner, Inc.</w:t>
      </w:r>
      <w:r>
        <w:rPr>
          <w:rFonts w:ascii="Arial" w:cs="Arial" w:eastAsia="Arial" w:hAnsi="Arial"/>
          <w:sz w:val="14"/>
          <w:szCs w:val="14"/>
          <w:color w:val="auto"/>
        </w:rPr>
        <w:t xml:space="preserve"> (1989 – 1995)</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Legal Advisor to the Chairman, </w:t>
      </w:r>
      <w:r>
        <w:rPr>
          <w:rFonts w:ascii="Arial" w:cs="Arial" w:eastAsia="Arial" w:hAnsi="Arial"/>
          <w:sz w:val="14"/>
          <w:szCs w:val="14"/>
          <w:b w:val="1"/>
          <w:bCs w:val="1"/>
          <w:color w:val="auto"/>
        </w:rPr>
        <w:t>Federal Communications Commission</w:t>
      </w:r>
      <w:r>
        <w:rPr>
          <w:rFonts w:ascii="Arial" w:cs="Arial" w:eastAsia="Arial" w:hAnsi="Arial"/>
          <w:sz w:val="14"/>
          <w:szCs w:val="14"/>
          <w:color w:val="auto"/>
        </w:rPr>
        <w:t xml:space="preserve"> (1987 – 1989)</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Senior Attorney, Viacom International, Inc. (1985 – 1987)</w:t>
      </w:r>
    </w:p>
    <w:p>
      <w:pPr>
        <w:spacing w:after="0" w:line="396" w:lineRule="exact"/>
        <w:rPr>
          <w:sz w:val="20"/>
          <w:szCs w:val="20"/>
          <w:color w:val="auto"/>
        </w:rPr>
      </w:pPr>
    </w:p>
    <w:p>
      <w:pPr>
        <w:ind w:left="320"/>
        <w:spacing w:after="0"/>
        <w:tabs>
          <w:tab w:leader="none" w:pos="4720" w:val="left"/>
        </w:tabs>
        <w:rPr>
          <w:sz w:val="20"/>
          <w:szCs w:val="20"/>
          <w:color w:val="auto"/>
        </w:rPr>
      </w:pPr>
      <w:r>
        <w:rPr>
          <w:rFonts w:ascii="Arial" w:cs="Arial" w:eastAsia="Arial" w:hAnsi="Arial"/>
          <w:sz w:val="18"/>
          <w:szCs w:val="18"/>
          <w:b w:val="1"/>
          <w:bCs w:val="1"/>
          <w:color w:val="431C5B"/>
        </w:rPr>
        <w:t>Other Public Company Boards (Current)</w:t>
      </w:r>
      <w:r>
        <w:rPr>
          <w:sz w:val="20"/>
          <w:szCs w:val="20"/>
          <w:color w:val="auto"/>
        </w:rPr>
        <w:tab/>
      </w:r>
      <w:r>
        <w:rPr>
          <w:rFonts w:ascii="Arial" w:cs="Arial" w:eastAsia="Arial" w:hAnsi="Arial"/>
          <w:sz w:val="18"/>
          <w:szCs w:val="18"/>
          <w:b w:val="1"/>
          <w:bCs w:val="1"/>
          <w:color w:val="431C5B"/>
        </w:rPr>
        <w:t>Education</w:t>
      </w:r>
    </w:p>
    <w:p>
      <w:pPr>
        <w:sectPr>
          <w:pgSz w:w="11900" w:h="16838" w:orient="portrait"/>
          <w:cols w:equalWidth="0" w:num="1">
            <w:col w:w="9019"/>
          </w:cols>
          <w:pgMar w:left="1440" w:top="657" w:right="1440" w:bottom="1440" w:gutter="0" w:footer="0" w:header="0"/>
        </w:sectPr>
      </w:pPr>
    </w:p>
    <w:p>
      <w:pPr>
        <w:spacing w:after="0" w:line="127" w:lineRule="exact"/>
        <w:rPr>
          <w:sz w:val="20"/>
          <w:szCs w:val="20"/>
          <w:color w:val="auto"/>
        </w:rPr>
      </w:pPr>
    </w:p>
    <w:p>
      <w:pPr>
        <w:ind w:left="520" w:hanging="20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Philip Morris International Inc. (2018 – present)</w:t>
      </w:r>
    </w:p>
    <w:p>
      <w:pPr>
        <w:spacing w:after="0" w:line="82" w:lineRule="exact"/>
        <w:rPr>
          <w:rFonts w:ascii="Arial" w:cs="Arial" w:eastAsia="Arial" w:hAnsi="Arial"/>
          <w:sz w:val="14"/>
          <w:szCs w:val="14"/>
          <w:color w:val="auto"/>
        </w:rPr>
      </w:pPr>
    </w:p>
    <w:p>
      <w:pPr>
        <w:ind w:left="520" w:hanging="20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Nokia Corporation (2022 – present)</w:t>
      </w:r>
    </w:p>
    <w:p>
      <w:pPr>
        <w:spacing w:after="0" w:line="82" w:lineRule="exact"/>
        <w:rPr>
          <w:rFonts w:ascii="Arial" w:cs="Arial" w:eastAsia="Arial" w:hAnsi="Arial"/>
          <w:sz w:val="14"/>
          <w:szCs w:val="14"/>
          <w:color w:val="auto"/>
        </w:rPr>
      </w:pPr>
    </w:p>
    <w:p>
      <w:pPr>
        <w:ind w:left="520" w:hanging="20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NextNav Inc. (2026 - present)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194" w:hanging="194"/>
        <w:spacing w:after="0"/>
        <w:tabs>
          <w:tab w:leader="none" w:pos="194"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 Public Policy, Duke University</w:t>
      </w:r>
    </w:p>
    <w:p>
      <w:pPr>
        <w:spacing w:after="0" w:line="82" w:lineRule="exact"/>
        <w:rPr>
          <w:rFonts w:ascii="Arial" w:cs="Arial" w:eastAsia="Arial" w:hAnsi="Arial"/>
          <w:sz w:val="14"/>
          <w:szCs w:val="14"/>
          <w:color w:val="auto"/>
        </w:rPr>
      </w:pPr>
    </w:p>
    <w:p>
      <w:pPr>
        <w:ind w:left="194" w:right="1199" w:hanging="194"/>
        <w:spacing w:after="0" w:line="325" w:lineRule="auto"/>
        <w:tabs>
          <w:tab w:leader="none" w:pos="194" w:val="left"/>
        </w:tabs>
        <w:numPr>
          <w:ilvl w:val="0"/>
          <w:numId w:val="35"/>
        </w:numPr>
        <w:rPr>
          <w:rFonts w:ascii="Arial" w:cs="Arial" w:eastAsia="Arial" w:hAnsi="Arial"/>
          <w:sz w:val="14"/>
          <w:szCs w:val="14"/>
          <w:color w:val="auto"/>
        </w:rPr>
      </w:pPr>
      <w:r>
        <w:rPr>
          <w:rFonts w:ascii="Arial" w:cs="Arial" w:eastAsia="Arial" w:hAnsi="Arial"/>
          <w:sz w:val="14"/>
          <w:szCs w:val="14"/>
          <w:color w:val="auto"/>
        </w:rPr>
        <w:t>JD, Dickinson School of Law at Pennsylvania State University</w:t>
      </w:r>
    </w:p>
    <w:p>
      <w:pPr>
        <w:spacing w:after="0" w:line="135" w:lineRule="exact"/>
        <w:rPr>
          <w:sz w:val="20"/>
          <w:szCs w:val="20"/>
          <w:color w:val="auto"/>
        </w:rPr>
      </w:pPr>
    </w:p>
    <w:p>
      <w:pPr>
        <w:sectPr>
          <w:pgSz w:w="11900" w:h="16838" w:orient="portrait"/>
          <w:cols w:equalWidth="0" w:num="2">
            <w:col w:w="4026" w:space="720"/>
            <w:col w:w="4273"/>
          </w:cols>
          <w:pgMar w:left="1440" w:top="657" w:right="1440" w:bottom="1440" w:gutter="0" w:footer="0" w:header="0"/>
          <w:type w:val="continuous"/>
        </w:sectPr>
      </w:pPr>
    </w:p>
    <w:p>
      <w:pPr>
        <w:ind w:left="320"/>
        <w:spacing w:after="0"/>
        <w:rPr>
          <w:sz w:val="20"/>
          <w:szCs w:val="20"/>
          <w:color w:val="auto"/>
        </w:rPr>
      </w:pPr>
      <w:r>
        <w:rPr>
          <w:rFonts w:ascii="Arial" w:cs="Arial" w:eastAsia="Arial" w:hAnsi="Arial"/>
          <w:sz w:val="18"/>
          <w:szCs w:val="18"/>
          <w:b w:val="1"/>
          <w:bCs w:val="1"/>
          <w:color w:val="431C5B"/>
        </w:rPr>
        <w:t>Other Public Company Boards (Former)</w:t>
      </w:r>
    </w:p>
    <w:p>
      <w:pPr>
        <w:spacing w:after="0" w:line="127" w:lineRule="exact"/>
        <w:rPr>
          <w:sz w:val="20"/>
          <w:szCs w:val="20"/>
          <w:color w:val="auto"/>
        </w:rPr>
      </w:pPr>
    </w:p>
    <w:p>
      <w:pPr>
        <w:ind w:left="520" w:right="4619" w:hanging="200"/>
        <w:spacing w:after="0" w:line="322"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Ritchie Brothers Auctioneers (now known as RB Global, Inc.) (2021 – 2023)</w:t>
      </w:r>
    </w:p>
    <w:p>
      <w:pPr>
        <w:ind w:left="520" w:hanging="20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Ping Identity Holdings (2019 – 2022)</w:t>
      </w:r>
    </w:p>
    <w:p>
      <w:pPr>
        <w:spacing w:after="0" w:line="82" w:lineRule="exact"/>
        <w:rPr>
          <w:rFonts w:ascii="Arial" w:cs="Arial" w:eastAsia="Arial" w:hAnsi="Arial"/>
          <w:sz w:val="14"/>
          <w:szCs w:val="14"/>
          <w:color w:val="auto"/>
        </w:rPr>
      </w:pPr>
    </w:p>
    <w:p>
      <w:pPr>
        <w:ind w:left="520" w:hanging="20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Partners Group Holdings (2020 – 2021)</w:t>
      </w:r>
    </w:p>
    <w:p>
      <w:pPr>
        <w:spacing w:after="0" w:line="82" w:lineRule="exact"/>
        <w:rPr>
          <w:rFonts w:ascii="Arial" w:cs="Arial" w:eastAsia="Arial" w:hAnsi="Arial"/>
          <w:sz w:val="14"/>
          <w:szCs w:val="14"/>
          <w:color w:val="auto"/>
        </w:rPr>
      </w:pPr>
    </w:p>
    <w:p>
      <w:pPr>
        <w:ind w:left="520" w:hanging="20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Unisys Corporation (2019 – 2021)</w:t>
      </w:r>
    </w:p>
    <w:p>
      <w:pPr>
        <w:spacing w:after="0" w:line="82" w:lineRule="exact"/>
        <w:rPr>
          <w:rFonts w:ascii="Arial" w:cs="Arial" w:eastAsia="Arial" w:hAnsi="Arial"/>
          <w:sz w:val="14"/>
          <w:szCs w:val="14"/>
          <w:color w:val="auto"/>
        </w:rPr>
      </w:pPr>
    </w:p>
    <w:p>
      <w:pPr>
        <w:ind w:left="520" w:hanging="20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Worldpay, Inc. (2015 – 2019, until its acquisition by FIS)</w:t>
      </w:r>
    </w:p>
    <w:p>
      <w:pPr>
        <w:spacing w:after="0" w:line="82" w:lineRule="exact"/>
        <w:rPr>
          <w:rFonts w:ascii="Arial" w:cs="Arial" w:eastAsia="Arial" w:hAnsi="Arial"/>
          <w:sz w:val="14"/>
          <w:szCs w:val="14"/>
          <w:color w:val="auto"/>
        </w:rPr>
      </w:pPr>
    </w:p>
    <w:p>
      <w:pPr>
        <w:ind w:left="520" w:hanging="20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NeuStar, Inc. (2010 – 2019)</w:t>
      </w:r>
    </w:p>
    <w:p>
      <w:pPr>
        <w:spacing w:after="0" w:line="82" w:lineRule="exact"/>
        <w:rPr>
          <w:rFonts w:ascii="Arial" w:cs="Arial" w:eastAsia="Arial" w:hAnsi="Arial"/>
          <w:sz w:val="14"/>
          <w:szCs w:val="14"/>
          <w:color w:val="auto"/>
        </w:rPr>
      </w:pPr>
    </w:p>
    <w:p>
      <w:pPr>
        <w:ind w:left="520" w:hanging="20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RELX plc &amp; NV (f.k.a. Reed Elsevier plc &amp; NV) (2006 – 2016)</w:t>
      </w:r>
    </w:p>
    <w:p>
      <w:pPr>
        <w:sectPr>
          <w:pgSz w:w="11900" w:h="16838" w:orient="portrait"/>
          <w:cols w:equalWidth="0" w:num="1">
            <w:col w:w="901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20" w:hanging="429"/>
        <w:spacing w:after="0"/>
        <w:tabs>
          <w:tab w:leader="none" w:pos="620" w:val="left"/>
        </w:tabs>
        <w:numPr>
          <w:ilvl w:val="0"/>
          <w:numId w:val="37"/>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27" w:name="page28"/>
    <w:bookmarkEnd w:id="27"/>
    <w:tbl>
      <w:tblPr>
        <w:tblLayout w:type="fixed"/>
        <w:tblInd w:w="120" w:type="dxa"/>
        <w:tblCellMar>
          <w:top w:w="0" w:type="dxa"/>
          <w:left w:w="0" w:type="dxa"/>
          <w:bottom w:w="0" w:type="dxa"/>
          <w:right w:w="0" w:type="dxa"/>
        </w:tblCellMar>
      </w:tblPr>
      <w:tr>
        <w:trPr>
          <w:trHeight w:val="196"/>
        </w:trPr>
        <w:tc>
          <w:tcPr>
            <w:tcW w:w="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3"/>
          </w:tcPr>
          <w:p>
            <w:pPr>
              <w:ind w:left="580"/>
              <w:spacing w:after="0"/>
              <w:rPr>
                <w:sz w:val="20"/>
                <w:szCs w:val="20"/>
                <w:color w:val="auto"/>
              </w:rPr>
            </w:pPr>
            <w:r>
              <w:rPr>
                <w:rFonts w:ascii="Arial" w:cs="Arial" w:eastAsia="Arial" w:hAnsi="Arial"/>
                <w:sz w:val="14"/>
                <w:szCs w:val="14"/>
                <w:b w:val="1"/>
                <w:bCs w:val="1"/>
                <w:color w:val="431C5B"/>
              </w:rPr>
              <w:t>Proposal 1: Election of Directors</w:t>
            </w:r>
          </w:p>
        </w:tc>
        <w:tc>
          <w:tcPr>
            <w:tcW w:w="0" w:type="dxa"/>
            <w:vAlign w:val="bottom"/>
          </w:tcPr>
          <w:p>
            <w:pPr>
              <w:spacing w:after="0"/>
              <w:rPr>
                <w:sz w:val="1"/>
                <w:szCs w:val="1"/>
                <w:color w:val="auto"/>
              </w:rPr>
            </w:pPr>
          </w:p>
        </w:tc>
      </w:tr>
      <w:tr>
        <w:trPr>
          <w:trHeight w:val="938"/>
        </w:trPr>
        <w:tc>
          <w:tcPr>
            <w:tcW w:w="820" w:type="dxa"/>
            <w:vAlign w:val="bottom"/>
          </w:tcPr>
          <w:p>
            <w:pPr>
              <w:spacing w:after="0"/>
              <w:rPr>
                <w:sz w:val="24"/>
                <w:szCs w:val="24"/>
                <w:color w:val="auto"/>
              </w:rPr>
            </w:pPr>
          </w:p>
        </w:tc>
        <w:tc>
          <w:tcPr>
            <w:tcW w:w="4760" w:type="dxa"/>
            <w:vAlign w:val="bottom"/>
            <w:gridSpan w:val="3"/>
          </w:tcPr>
          <w:p>
            <w:pPr>
              <w:ind w:left="1420"/>
              <w:spacing w:after="0"/>
              <w:rPr>
                <w:sz w:val="20"/>
                <w:szCs w:val="20"/>
                <w:color w:val="auto"/>
              </w:rPr>
            </w:pPr>
            <w:r>
              <w:rPr>
                <w:rFonts w:ascii="Arial" w:cs="Arial" w:eastAsia="Arial" w:hAnsi="Arial"/>
                <w:sz w:val="27"/>
                <w:szCs w:val="27"/>
                <w:b w:val="1"/>
                <w:bCs w:val="1"/>
                <w:color w:val="431C5B"/>
              </w:rPr>
              <w:t>Kenneth T. Lamneck</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880" w:type="dxa"/>
            <w:vAlign w:val="bottom"/>
            <w:gridSpan w:val="2"/>
          </w:tcPr>
          <w:p>
            <w:pPr>
              <w:ind w:left="1420"/>
              <w:spacing w:after="0"/>
              <w:rPr>
                <w:sz w:val="20"/>
                <w:szCs w:val="20"/>
                <w:color w:val="auto"/>
              </w:rPr>
            </w:pPr>
            <w:r>
              <w:rPr>
                <w:rFonts w:ascii="Arial" w:cs="Arial" w:eastAsia="Arial" w:hAnsi="Arial"/>
                <w:sz w:val="14"/>
                <w:szCs w:val="14"/>
                <w:b w:val="1"/>
                <w:bCs w:val="1"/>
                <w:color w:val="431C5B"/>
              </w:rPr>
              <w:t>Independent Director</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4760" w:type="dxa"/>
            <w:vAlign w:val="bottom"/>
            <w:gridSpan w:val="3"/>
          </w:tcPr>
          <w:p>
            <w:pPr>
              <w:ind w:left="1420"/>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auto"/>
              </w:rPr>
              <w:t>71</w:t>
            </w:r>
            <w:r>
              <w:rPr>
                <w:rFonts w:ascii="Arial" w:cs="Arial" w:eastAsia="Arial" w:hAnsi="Arial"/>
                <w:sz w:val="14"/>
                <w:szCs w:val="14"/>
                <w:color w:val="auto"/>
              </w:rPr>
              <w:t xml:space="preserve"> | Director since: </w:t>
            </w:r>
            <w:r>
              <w:rPr>
                <w:rFonts w:ascii="Arial" w:cs="Arial" w:eastAsia="Arial" w:hAnsi="Arial"/>
                <w:sz w:val="14"/>
                <w:szCs w:val="14"/>
                <w:b w:val="1"/>
                <w:bCs w:val="1"/>
                <w:color w:val="auto"/>
              </w:rPr>
              <w:t>2022</w:t>
            </w:r>
          </w:p>
        </w:tc>
        <w:tc>
          <w:tcPr>
            <w:tcW w:w="3180" w:type="dxa"/>
            <w:vAlign w:val="bottom"/>
            <w:gridSpan w:val="4"/>
          </w:tcPr>
          <w:p>
            <w:pPr>
              <w:ind w:left="40"/>
              <w:spacing w:after="0"/>
              <w:rPr>
                <w:sz w:val="20"/>
                <w:szCs w:val="20"/>
                <w:color w:val="auto"/>
              </w:rPr>
            </w:pPr>
            <w:r>
              <w:rPr>
                <w:rFonts w:ascii="Arial" w:cs="Arial" w:eastAsia="Arial" w:hAnsi="Arial"/>
                <w:sz w:val="14"/>
                <w:szCs w:val="14"/>
                <w:color w:val="auto"/>
              </w:rPr>
              <w:t xml:space="preserve">Committee Member: </w:t>
            </w: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760" w:type="dxa"/>
            <w:vAlign w:val="bottom"/>
            <w:gridSpan w:val="3"/>
            <w:vMerge w:val="restart"/>
          </w:tcPr>
          <w:p>
            <w:pPr>
              <w:ind w:left="1420"/>
              <w:spacing w:after="0"/>
              <w:rPr>
                <w:sz w:val="20"/>
                <w:szCs w:val="20"/>
                <w:color w:val="auto"/>
              </w:rPr>
            </w:pPr>
            <w:r>
              <w:rPr>
                <w:rFonts w:ascii="Arial" w:cs="Arial" w:eastAsia="Arial" w:hAnsi="Arial"/>
                <w:sz w:val="14"/>
                <w:szCs w:val="14"/>
                <w:color w:val="auto"/>
              </w:rPr>
              <w:t xml:space="preserve">Committee Chair: </w:t>
            </w:r>
            <w:r>
              <w:rPr>
                <w:rFonts w:ascii="Arial" w:cs="Arial" w:eastAsia="Arial" w:hAnsi="Arial"/>
                <w:sz w:val="14"/>
                <w:szCs w:val="14"/>
                <w:b w:val="1"/>
                <w:bCs w:val="1"/>
                <w:color w:val="auto"/>
              </w:rPr>
              <w:t>Corporate Governance,</w:t>
            </w:r>
          </w:p>
        </w:tc>
        <w:tc>
          <w:tcPr>
            <w:tcW w:w="3180" w:type="dxa"/>
            <w:vAlign w:val="bottom"/>
            <w:gridSpan w:val="4"/>
          </w:tcPr>
          <w:p>
            <w:pPr>
              <w:ind w:left="40"/>
              <w:spacing w:after="0"/>
              <w:rPr>
                <w:sz w:val="20"/>
                <w:szCs w:val="20"/>
                <w:color w:val="auto"/>
              </w:rPr>
            </w:pPr>
            <w:r>
              <w:rPr>
                <w:rFonts w:ascii="Arial" w:cs="Arial" w:eastAsia="Arial" w:hAnsi="Arial"/>
                <w:sz w:val="14"/>
                <w:szCs w:val="14"/>
                <w:b w:val="1"/>
                <w:bCs w:val="1"/>
                <w:color w:val="auto"/>
              </w:rPr>
              <w:t>Executive</w:t>
            </w:r>
          </w:p>
        </w:tc>
        <w:tc>
          <w:tcPr>
            <w:tcW w:w="0" w:type="dxa"/>
            <w:vAlign w:val="bottom"/>
          </w:tcPr>
          <w:p>
            <w:pPr>
              <w:spacing w:after="0"/>
              <w:rPr>
                <w:sz w:val="1"/>
                <w:szCs w:val="1"/>
                <w:color w:val="auto"/>
              </w:rPr>
            </w:pPr>
          </w:p>
        </w:tc>
      </w:tr>
      <w:tr>
        <w:trPr>
          <w:trHeight w:val="101"/>
        </w:trPr>
        <w:tc>
          <w:tcPr>
            <w:tcW w:w="820" w:type="dxa"/>
            <w:vAlign w:val="bottom"/>
          </w:tcPr>
          <w:p>
            <w:pPr>
              <w:spacing w:after="0"/>
              <w:rPr>
                <w:sz w:val="8"/>
                <w:szCs w:val="8"/>
                <w:color w:val="auto"/>
              </w:rPr>
            </w:pPr>
          </w:p>
        </w:tc>
        <w:tc>
          <w:tcPr>
            <w:tcW w:w="476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760" w:type="dxa"/>
            <w:vAlign w:val="bottom"/>
            <w:gridSpan w:val="3"/>
          </w:tcPr>
          <w:p>
            <w:pPr>
              <w:ind w:left="1420"/>
              <w:spacing w:after="0"/>
              <w:rPr>
                <w:sz w:val="20"/>
                <w:szCs w:val="20"/>
                <w:color w:val="auto"/>
              </w:rPr>
            </w:pPr>
            <w:r>
              <w:rPr>
                <w:rFonts w:ascii="Arial" w:cs="Arial" w:eastAsia="Arial" w:hAnsi="Arial"/>
                <w:sz w:val="14"/>
                <w:szCs w:val="14"/>
                <w:b w:val="1"/>
                <w:bCs w:val="1"/>
                <w:color w:val="auto"/>
              </w:rPr>
              <w:t>Nominating and Sustainability</w:t>
            </w:r>
          </w:p>
        </w:tc>
        <w:tc>
          <w:tcPr>
            <w:tcW w:w="3180" w:type="dxa"/>
            <w:vAlign w:val="bottom"/>
            <w:gridSpan w:val="4"/>
          </w:tcPr>
          <w:p>
            <w:pPr>
              <w:ind w:left="40"/>
              <w:spacing w:after="0"/>
              <w:rPr>
                <w:sz w:val="20"/>
                <w:szCs w:val="20"/>
                <w:color w:val="auto"/>
              </w:rPr>
            </w:pPr>
            <w:r>
              <w:rPr>
                <w:rFonts w:ascii="Arial" w:cs="Arial" w:eastAsia="Arial" w:hAnsi="Arial"/>
                <w:sz w:val="14"/>
                <w:szCs w:val="14"/>
                <w:color w:val="auto"/>
              </w:rPr>
              <w:t>Other Current Public Company Boards: 2</w:t>
            </w:r>
          </w:p>
        </w:tc>
        <w:tc>
          <w:tcPr>
            <w:tcW w:w="0" w:type="dxa"/>
            <w:vAlign w:val="bottom"/>
          </w:tcPr>
          <w:p>
            <w:pPr>
              <w:spacing w:after="0"/>
              <w:rPr>
                <w:sz w:val="1"/>
                <w:szCs w:val="1"/>
                <w:color w:val="auto"/>
              </w:rPr>
            </w:pPr>
          </w:p>
        </w:tc>
      </w:tr>
      <w:tr>
        <w:trPr>
          <w:trHeight w:val="488"/>
        </w:trPr>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00" w:type="dxa"/>
            <w:vAlign w:val="bottom"/>
            <w:gridSpan w:val="3"/>
            <w:shd w:val="clear" w:color="auto" w:fill="ECE8EF"/>
          </w:tcPr>
          <w:p>
            <w:pPr>
              <w:ind w:left="240"/>
              <w:spacing w:after="0"/>
              <w:rPr>
                <w:sz w:val="20"/>
                <w:szCs w:val="20"/>
                <w:color w:val="auto"/>
              </w:rPr>
            </w:pPr>
            <w:r>
              <w:rPr>
                <w:rFonts w:ascii="Arial" w:cs="Arial" w:eastAsia="Arial" w:hAnsi="Arial"/>
                <w:sz w:val="18"/>
                <w:szCs w:val="18"/>
                <w:b w:val="1"/>
                <w:bCs w:val="1"/>
                <w:color w:val="431C5B"/>
              </w:rPr>
              <w:t>Skills and Qualifications</w:t>
            </w:r>
          </w:p>
        </w:tc>
        <w:tc>
          <w:tcPr>
            <w:tcW w:w="1880" w:type="dxa"/>
            <w:vAlign w:val="bottom"/>
            <w:shd w:val="clear" w:color="auto" w:fill="ECE8EF"/>
          </w:tcPr>
          <w:p>
            <w:pPr>
              <w:spacing w:after="0"/>
              <w:rPr>
                <w:sz w:val="24"/>
                <w:szCs w:val="24"/>
                <w:color w:val="auto"/>
              </w:rPr>
            </w:pPr>
          </w:p>
        </w:tc>
        <w:tc>
          <w:tcPr>
            <w:tcW w:w="3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Executive Leadership</w:t>
            </w:r>
          </w:p>
        </w:tc>
        <w:tc>
          <w:tcPr>
            <w:tcW w:w="660" w:type="dxa"/>
            <w:vAlign w:val="bottom"/>
            <w:shd w:val="clear" w:color="auto" w:fill="ECE8EF"/>
          </w:tcPr>
          <w:p>
            <w:pPr>
              <w:spacing w:after="0"/>
              <w:rPr>
                <w:sz w:val="24"/>
                <w:szCs w:val="24"/>
                <w:color w:val="auto"/>
              </w:rPr>
            </w:pPr>
          </w:p>
        </w:tc>
        <w:tc>
          <w:tcPr>
            <w:tcW w:w="1880" w:type="dxa"/>
            <w:vAlign w:val="bottom"/>
            <w:shd w:val="clear" w:color="auto" w:fill="ECE8EF"/>
          </w:tcPr>
          <w:p>
            <w:pPr>
              <w:ind w:left="20"/>
              <w:spacing w:after="0"/>
              <w:rPr>
                <w:sz w:val="20"/>
                <w:szCs w:val="20"/>
                <w:color w:val="auto"/>
              </w:rPr>
            </w:pPr>
            <w:r>
              <w:rPr>
                <w:rFonts w:ascii="Arial" w:cs="Arial" w:eastAsia="Arial" w:hAnsi="Arial"/>
                <w:sz w:val="14"/>
                <w:szCs w:val="14"/>
                <w:color w:val="auto"/>
              </w:rPr>
              <w:t>Global Business Experience</w:t>
            </w:r>
          </w:p>
        </w:tc>
        <w:tc>
          <w:tcPr>
            <w:tcW w:w="3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Financial Expertise</w:t>
            </w:r>
          </w:p>
        </w:tc>
        <w:tc>
          <w:tcPr>
            <w:tcW w:w="0" w:type="dxa"/>
            <w:vAlign w:val="bottom"/>
          </w:tcPr>
          <w:p>
            <w:pPr>
              <w:spacing w:after="0"/>
              <w:rPr>
                <w:sz w:val="1"/>
                <w:szCs w:val="1"/>
                <w:color w:val="auto"/>
              </w:rPr>
            </w:pPr>
          </w:p>
        </w:tc>
      </w:tr>
      <w:tr>
        <w:trPr>
          <w:trHeight w:val="444"/>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Public Company</w:t>
            </w:r>
          </w:p>
        </w:tc>
        <w:tc>
          <w:tcPr>
            <w:tcW w:w="660" w:type="dxa"/>
            <w:vAlign w:val="bottom"/>
            <w:shd w:val="clear" w:color="auto" w:fill="ECE8EF"/>
          </w:tcPr>
          <w:p>
            <w:pPr>
              <w:spacing w:after="0"/>
              <w:rPr>
                <w:sz w:val="24"/>
                <w:szCs w:val="24"/>
                <w:color w:val="auto"/>
              </w:rPr>
            </w:pPr>
          </w:p>
        </w:tc>
        <w:tc>
          <w:tcPr>
            <w:tcW w:w="1880" w:type="dxa"/>
            <w:vAlign w:val="bottom"/>
            <w:vMerge w:val="restart"/>
            <w:shd w:val="clear" w:color="auto" w:fill="ECE8EF"/>
          </w:tcPr>
          <w:p>
            <w:pPr>
              <w:ind w:left="20"/>
              <w:spacing w:after="0"/>
              <w:rPr>
                <w:sz w:val="20"/>
                <w:szCs w:val="20"/>
                <w:color w:val="auto"/>
              </w:rPr>
            </w:pPr>
            <w:r>
              <w:rPr>
                <w:rFonts w:ascii="Arial" w:cs="Arial" w:eastAsia="Arial" w:hAnsi="Arial"/>
                <w:sz w:val="14"/>
                <w:szCs w:val="14"/>
                <w:color w:val="auto"/>
              </w:rPr>
              <w:t>Human Capital Management</w:t>
            </w:r>
          </w:p>
        </w:tc>
        <w:tc>
          <w:tcPr>
            <w:tcW w:w="3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Enterprise Risk Management/</w:t>
            </w:r>
          </w:p>
        </w:tc>
        <w:tc>
          <w:tcPr>
            <w:tcW w:w="0" w:type="dxa"/>
            <w:vAlign w:val="bottom"/>
          </w:tcPr>
          <w:p>
            <w:pPr>
              <w:spacing w:after="0"/>
              <w:rPr>
                <w:sz w:val="1"/>
                <w:szCs w:val="1"/>
                <w:color w:val="auto"/>
              </w:rPr>
            </w:pPr>
          </w:p>
        </w:tc>
      </w:tr>
      <w:tr>
        <w:trPr>
          <w:trHeight w:val="96"/>
        </w:trPr>
        <w:tc>
          <w:tcPr>
            <w:tcW w:w="82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Board Experience</w:t>
            </w:r>
          </w:p>
        </w:tc>
        <w:tc>
          <w:tcPr>
            <w:tcW w:w="660" w:type="dxa"/>
            <w:vAlign w:val="bottom"/>
            <w:shd w:val="clear" w:color="auto" w:fill="ECE8EF"/>
          </w:tcPr>
          <w:p>
            <w:pPr>
              <w:spacing w:after="0"/>
              <w:rPr>
                <w:sz w:val="8"/>
                <w:szCs w:val="8"/>
                <w:color w:val="auto"/>
              </w:rPr>
            </w:pPr>
          </w:p>
        </w:tc>
        <w:tc>
          <w:tcPr>
            <w:tcW w:w="1880" w:type="dxa"/>
            <w:vAlign w:val="bottom"/>
            <w:vMerge w:val="continue"/>
            <w:shd w:val="clear" w:color="auto" w:fill="ECE8EF"/>
          </w:tcPr>
          <w:p>
            <w:pPr>
              <w:spacing w:after="0"/>
              <w:rPr>
                <w:sz w:val="8"/>
                <w:szCs w:val="8"/>
                <w:color w:val="auto"/>
              </w:rPr>
            </w:pPr>
          </w:p>
        </w:tc>
        <w:tc>
          <w:tcPr>
            <w:tcW w:w="3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restart"/>
            <w:shd w:val="clear" w:color="auto" w:fill="ECE8EF"/>
          </w:tcPr>
          <w:p>
            <w:pPr>
              <w:ind w:left="60"/>
              <w:spacing w:after="0"/>
              <w:rPr>
                <w:sz w:val="20"/>
                <w:szCs w:val="20"/>
                <w:color w:val="auto"/>
              </w:rPr>
            </w:pPr>
            <w:r>
              <w:rPr>
                <w:rFonts w:ascii="Arial" w:cs="Arial" w:eastAsia="Arial" w:hAnsi="Arial"/>
                <w:sz w:val="14"/>
                <w:szCs w:val="14"/>
                <w:color w:val="auto"/>
              </w:rPr>
              <w:t>Information Security</w:t>
            </w:r>
          </w:p>
        </w:tc>
        <w:tc>
          <w:tcPr>
            <w:tcW w:w="0" w:type="dxa"/>
            <w:vAlign w:val="bottom"/>
          </w:tcPr>
          <w:p>
            <w:pPr>
              <w:spacing w:after="0"/>
              <w:rPr>
                <w:sz w:val="1"/>
                <w:szCs w:val="1"/>
                <w:color w:val="auto"/>
              </w:rPr>
            </w:pPr>
          </w:p>
        </w:tc>
      </w:tr>
      <w:tr>
        <w:trPr>
          <w:trHeight w:val="94"/>
        </w:trPr>
        <w:tc>
          <w:tcPr>
            <w:tcW w:w="82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60" w:type="dxa"/>
            <w:vAlign w:val="bottom"/>
            <w:shd w:val="clear" w:color="auto" w:fill="ECE8EF"/>
          </w:tcPr>
          <w:p>
            <w:pPr>
              <w:spacing w:after="0"/>
              <w:rPr>
                <w:sz w:val="8"/>
                <w:szCs w:val="8"/>
                <w:color w:val="auto"/>
              </w:rPr>
            </w:pPr>
          </w:p>
        </w:tc>
        <w:tc>
          <w:tcPr>
            <w:tcW w:w="1880" w:type="dxa"/>
            <w:vAlign w:val="bottom"/>
            <w:shd w:val="clear" w:color="auto" w:fill="ECE8EF"/>
          </w:tcPr>
          <w:p>
            <w:pPr>
              <w:spacing w:after="0"/>
              <w:rPr>
                <w:sz w:val="8"/>
                <w:szCs w:val="8"/>
                <w:color w:val="auto"/>
              </w:rPr>
            </w:pPr>
          </w:p>
        </w:tc>
        <w:tc>
          <w:tcPr>
            <w:tcW w:w="3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continue"/>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Mergers and Acquisitions/</w:t>
            </w:r>
          </w:p>
        </w:tc>
        <w:tc>
          <w:tcPr>
            <w:tcW w:w="660" w:type="dxa"/>
            <w:vAlign w:val="bottom"/>
            <w:shd w:val="clear" w:color="auto" w:fill="ECE8EF"/>
          </w:tcPr>
          <w:p>
            <w:pPr>
              <w:spacing w:after="0"/>
              <w:rPr>
                <w:sz w:val="24"/>
                <w:szCs w:val="24"/>
                <w:color w:val="auto"/>
              </w:rPr>
            </w:pPr>
          </w:p>
        </w:tc>
        <w:tc>
          <w:tcPr>
            <w:tcW w:w="1880" w:type="dxa"/>
            <w:vAlign w:val="bottom"/>
            <w:vMerge w:val="restart"/>
            <w:shd w:val="clear" w:color="auto" w:fill="ECE8EF"/>
          </w:tcPr>
          <w:p>
            <w:pPr>
              <w:ind w:left="20"/>
              <w:spacing w:after="0"/>
              <w:rPr>
                <w:sz w:val="20"/>
                <w:szCs w:val="20"/>
                <w:color w:val="auto"/>
              </w:rPr>
            </w:pPr>
            <w:r>
              <w:rPr>
                <w:rFonts w:ascii="Arial" w:cs="Arial" w:eastAsia="Arial" w:hAnsi="Arial"/>
                <w:sz w:val="14"/>
                <w:szCs w:val="14"/>
                <w:color w:val="auto"/>
              </w:rPr>
              <w:t>Sustainability</w:t>
            </w:r>
          </w:p>
        </w:tc>
        <w:tc>
          <w:tcPr>
            <w:tcW w:w="3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000" w:type="dxa"/>
            <w:vAlign w:val="bottom"/>
            <w:vMerge w:val="restart"/>
            <w:shd w:val="clear" w:color="auto" w:fill="ECE8EF"/>
          </w:tcPr>
          <w:p>
            <w:pPr>
              <w:ind w:left="60"/>
              <w:spacing w:after="0"/>
              <w:rPr>
                <w:sz w:val="20"/>
                <w:szCs w:val="20"/>
                <w:color w:val="auto"/>
              </w:rPr>
            </w:pPr>
            <w:r>
              <w:rPr>
                <w:rFonts w:ascii="Arial" w:cs="Arial" w:eastAsia="Arial" w:hAnsi="Arial"/>
                <w:sz w:val="14"/>
                <w:szCs w:val="14"/>
                <w:color w:val="auto"/>
              </w:rPr>
              <w:t>Technology</w:t>
            </w: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2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Capital Allocation</w:t>
            </w:r>
          </w:p>
        </w:tc>
        <w:tc>
          <w:tcPr>
            <w:tcW w:w="660" w:type="dxa"/>
            <w:vAlign w:val="bottom"/>
            <w:shd w:val="clear" w:color="auto" w:fill="ECE8EF"/>
          </w:tcPr>
          <w:p>
            <w:pPr>
              <w:spacing w:after="0"/>
              <w:rPr>
                <w:sz w:val="8"/>
                <w:szCs w:val="8"/>
                <w:color w:val="auto"/>
              </w:rPr>
            </w:pPr>
          </w:p>
        </w:tc>
        <w:tc>
          <w:tcPr>
            <w:tcW w:w="1880" w:type="dxa"/>
            <w:vAlign w:val="bottom"/>
            <w:vMerge w:val="continue"/>
            <w:shd w:val="clear" w:color="auto" w:fill="ECE8EF"/>
          </w:tcPr>
          <w:p>
            <w:pPr>
              <w:spacing w:after="0"/>
              <w:rPr>
                <w:sz w:val="8"/>
                <w:szCs w:val="8"/>
                <w:color w:val="auto"/>
              </w:rPr>
            </w:pPr>
          </w:p>
        </w:tc>
        <w:tc>
          <w:tcPr>
            <w:tcW w:w="3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vMerge w:val="continue"/>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2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60" w:type="dxa"/>
            <w:vAlign w:val="bottom"/>
            <w:shd w:val="clear" w:color="auto" w:fill="ECE8EF"/>
          </w:tcPr>
          <w:p>
            <w:pPr>
              <w:spacing w:after="0"/>
              <w:rPr>
                <w:sz w:val="8"/>
                <w:szCs w:val="8"/>
                <w:color w:val="auto"/>
              </w:rPr>
            </w:pPr>
          </w:p>
        </w:tc>
        <w:tc>
          <w:tcPr>
            <w:tcW w:w="1880" w:type="dxa"/>
            <w:vAlign w:val="bottom"/>
            <w:shd w:val="clear" w:color="auto" w:fill="ECE8EF"/>
          </w:tcPr>
          <w:p>
            <w:pPr>
              <w:spacing w:after="0"/>
              <w:rPr>
                <w:sz w:val="8"/>
                <w:szCs w:val="8"/>
                <w:color w:val="auto"/>
              </w:rPr>
            </w:pPr>
          </w:p>
        </w:tc>
        <w:tc>
          <w:tcPr>
            <w:tcW w:w="3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Business Transformation</w:t>
            </w:r>
          </w:p>
        </w:tc>
        <w:tc>
          <w:tcPr>
            <w:tcW w:w="660" w:type="dxa"/>
            <w:vAlign w:val="bottom"/>
            <w:shd w:val="clear" w:color="auto" w:fill="ECE8EF"/>
          </w:tcPr>
          <w:p>
            <w:pPr>
              <w:spacing w:after="0"/>
              <w:rPr>
                <w:sz w:val="24"/>
                <w:szCs w:val="24"/>
                <w:color w:val="auto"/>
              </w:rPr>
            </w:pPr>
          </w:p>
        </w:tc>
        <w:tc>
          <w:tcPr>
            <w:tcW w:w="2240" w:type="dxa"/>
            <w:vAlign w:val="bottom"/>
            <w:gridSpan w:val="2"/>
            <w:shd w:val="clear" w:color="auto" w:fill="ECE8EF"/>
          </w:tcPr>
          <w:p>
            <w:pPr>
              <w:ind w:left="20"/>
              <w:spacing w:after="0"/>
              <w:rPr>
                <w:sz w:val="20"/>
                <w:szCs w:val="20"/>
                <w:color w:val="auto"/>
              </w:rPr>
            </w:pPr>
            <w:r>
              <w:rPr>
                <w:rFonts w:ascii="Arial" w:cs="Arial" w:eastAsia="Arial" w:hAnsi="Arial"/>
                <w:sz w:val="14"/>
                <w:szCs w:val="14"/>
                <w:color w:val="auto"/>
              </w:rPr>
              <w:t>Digital Transformation Experience</w:t>
            </w: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20" w:type="dxa"/>
            <w:vAlign w:val="bottom"/>
            <w:shd w:val="clear" w:color="auto" w:fill="ECE8EF"/>
          </w:tcPr>
          <w:p>
            <w:pPr>
              <w:spacing w:after="0"/>
              <w:rPr>
                <w:sz w:val="24"/>
                <w:szCs w:val="24"/>
                <w:color w:val="auto"/>
              </w:rPr>
            </w:pPr>
          </w:p>
        </w:tc>
        <w:tc>
          <w:tcPr>
            <w:tcW w:w="2220" w:type="dxa"/>
            <w:vAlign w:val="bottom"/>
            <w:shd w:val="clear" w:color="auto" w:fill="ECE8EF"/>
          </w:tcPr>
          <w:p>
            <w:pPr>
              <w:spacing w:after="0"/>
              <w:rPr>
                <w:sz w:val="24"/>
                <w:szCs w:val="24"/>
                <w:color w:val="auto"/>
              </w:rPr>
            </w:pPr>
          </w:p>
        </w:tc>
        <w:tc>
          <w:tcPr>
            <w:tcW w:w="660" w:type="dxa"/>
            <w:vAlign w:val="bottom"/>
            <w:shd w:val="clear" w:color="auto" w:fill="ECE8EF"/>
          </w:tcPr>
          <w:p>
            <w:pPr>
              <w:spacing w:after="0"/>
              <w:rPr>
                <w:sz w:val="24"/>
                <w:szCs w:val="24"/>
                <w:color w:val="auto"/>
              </w:rPr>
            </w:pPr>
          </w:p>
        </w:tc>
        <w:tc>
          <w:tcPr>
            <w:tcW w:w="1880" w:type="dxa"/>
            <w:vAlign w:val="bottom"/>
            <w:shd w:val="clear" w:color="auto" w:fill="ECE8EF"/>
          </w:tcPr>
          <w:p>
            <w:pPr>
              <w:spacing w:after="0"/>
              <w:rPr>
                <w:sz w:val="24"/>
                <w:szCs w:val="24"/>
                <w:color w:val="auto"/>
              </w:rPr>
            </w:pPr>
          </w:p>
        </w:tc>
        <w:tc>
          <w:tcPr>
            <w:tcW w:w="3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b w:val="1"/>
          <w:bCs w:val="1"/>
          <w:color w:val="431C5B"/>
        </w:rPr>
        <w:t>Experience</w:t>
      </w:r>
    </w:p>
    <w:p>
      <w:pPr>
        <w:spacing w:after="0" w:line="127" w:lineRule="exact"/>
        <w:rPr>
          <w:sz w:val="20"/>
          <w:szCs w:val="20"/>
          <w:color w:val="auto"/>
        </w:rPr>
      </w:pPr>
    </w:p>
    <w:p>
      <w:pPr>
        <w:ind w:left="520" w:hanging="196"/>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Executive Vice President (2022 – 2025), President and Chief Executive Officer (2010 – 2021), </w:t>
      </w:r>
      <w:r>
        <w:rPr>
          <w:rFonts w:ascii="Arial" w:cs="Arial" w:eastAsia="Arial" w:hAnsi="Arial"/>
          <w:sz w:val="14"/>
          <w:szCs w:val="14"/>
          <w:b w:val="1"/>
          <w:bCs w:val="1"/>
          <w:color w:val="auto"/>
        </w:rPr>
        <w:t>Insight Enterprises, Inc.</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President, the Americas, </w:t>
      </w:r>
      <w:r>
        <w:rPr>
          <w:rFonts w:ascii="Arial" w:cs="Arial" w:eastAsia="Arial" w:hAnsi="Arial"/>
          <w:sz w:val="14"/>
          <w:szCs w:val="14"/>
          <w:b w:val="1"/>
          <w:bCs w:val="1"/>
          <w:color w:val="auto"/>
        </w:rPr>
        <w:t>Tech Data Corporation</w:t>
      </w:r>
      <w:r>
        <w:rPr>
          <w:rFonts w:ascii="Arial" w:cs="Arial" w:eastAsia="Arial" w:hAnsi="Arial"/>
          <w:sz w:val="14"/>
          <w:szCs w:val="14"/>
          <w:color w:val="auto"/>
        </w:rPr>
        <w:t xml:space="preserve"> (2004 – 2009)</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Held several executive management positions at </w:t>
      </w:r>
      <w:r>
        <w:rPr>
          <w:rFonts w:ascii="Arial" w:cs="Arial" w:eastAsia="Arial" w:hAnsi="Arial"/>
          <w:sz w:val="14"/>
          <w:szCs w:val="14"/>
          <w:b w:val="1"/>
          <w:bCs w:val="1"/>
          <w:color w:val="auto"/>
        </w:rPr>
        <w:t>Arrow Electronics Inc.</w:t>
      </w:r>
      <w:r>
        <w:rPr>
          <w:rFonts w:ascii="Arial" w:cs="Arial" w:eastAsia="Arial" w:hAnsi="Arial"/>
          <w:sz w:val="14"/>
          <w:szCs w:val="14"/>
          <w:color w:val="auto"/>
        </w:rPr>
        <w:t xml:space="preserve"> (1988 – 2004)</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Following five years of service in the United States Army, began his civilian career at IBM as an engineer</w:t>
      </w:r>
    </w:p>
    <w:p>
      <w:pPr>
        <w:spacing w:after="0" w:line="369" w:lineRule="exact"/>
        <w:rPr>
          <w:sz w:val="20"/>
          <w:szCs w:val="20"/>
          <w:color w:val="auto"/>
        </w:rPr>
      </w:pPr>
    </w:p>
    <w:tbl>
      <w:tblPr>
        <w:tblLayout w:type="fixed"/>
        <w:tblInd w:w="320" w:type="dxa"/>
        <w:tblCellMar>
          <w:top w:w="0" w:type="dxa"/>
          <w:left w:w="0" w:type="dxa"/>
          <w:bottom w:w="0" w:type="dxa"/>
          <w:right w:w="0" w:type="dxa"/>
        </w:tblCellMar>
      </w:tblPr>
      <w:tr>
        <w:trPr>
          <w:trHeight w:val="247"/>
        </w:trPr>
        <w:tc>
          <w:tcPr>
            <w:tcW w:w="3920" w:type="dxa"/>
            <w:vAlign w:val="bottom"/>
            <w:gridSpan w:val="2"/>
          </w:tcPr>
          <w:p>
            <w:pPr>
              <w:spacing w:after="0"/>
              <w:rPr>
                <w:sz w:val="20"/>
                <w:szCs w:val="20"/>
                <w:color w:val="auto"/>
              </w:rPr>
            </w:pPr>
            <w:r>
              <w:rPr>
                <w:rFonts w:ascii="Arial" w:cs="Arial" w:eastAsia="Arial" w:hAnsi="Arial"/>
                <w:sz w:val="18"/>
                <w:szCs w:val="18"/>
                <w:b w:val="1"/>
                <w:bCs w:val="1"/>
                <w:color w:val="431C5B"/>
              </w:rPr>
              <w:t>Other Public Company Boards (Current)</w:t>
            </w:r>
          </w:p>
        </w:tc>
        <w:tc>
          <w:tcPr>
            <w:tcW w:w="3860" w:type="dxa"/>
            <w:vAlign w:val="bottom"/>
            <w:gridSpan w:val="2"/>
          </w:tcPr>
          <w:p>
            <w:pPr>
              <w:ind w:left="500"/>
              <w:spacing w:after="0"/>
              <w:rPr>
                <w:sz w:val="20"/>
                <w:szCs w:val="20"/>
                <w:color w:val="auto"/>
              </w:rPr>
            </w:pPr>
            <w:r>
              <w:rPr>
                <w:rFonts w:ascii="Arial" w:cs="Arial" w:eastAsia="Arial" w:hAnsi="Arial"/>
                <w:sz w:val="18"/>
                <w:szCs w:val="18"/>
                <w:b w:val="1"/>
                <w:bCs w:val="1"/>
                <w:color w:val="431C5B"/>
              </w:rPr>
              <w:t>Education</w:t>
            </w:r>
          </w:p>
        </w:tc>
      </w:tr>
      <w:tr>
        <w:trPr>
          <w:trHeight w:val="277"/>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0" w:type="dxa"/>
            <w:vAlign w:val="bottom"/>
          </w:tcPr>
          <w:p>
            <w:pPr>
              <w:ind w:left="80"/>
              <w:spacing w:after="0"/>
              <w:rPr>
                <w:sz w:val="20"/>
                <w:szCs w:val="20"/>
                <w:color w:val="auto"/>
              </w:rPr>
            </w:pPr>
            <w:r>
              <w:rPr>
                <w:rFonts w:ascii="Arial" w:cs="Arial" w:eastAsia="Arial" w:hAnsi="Arial"/>
                <w:sz w:val="14"/>
                <w:szCs w:val="14"/>
                <w:color w:val="auto"/>
              </w:rPr>
              <w:t>Benchmark Electronics, Inc. (2013 – present)</w:t>
            </w:r>
          </w:p>
        </w:tc>
        <w:tc>
          <w:tcPr>
            <w:tcW w:w="620" w:type="dxa"/>
            <w:vAlign w:val="bottom"/>
          </w:tcPr>
          <w:p>
            <w:pPr>
              <w:ind w:left="500"/>
              <w:spacing w:after="0"/>
              <w:rPr>
                <w:sz w:val="20"/>
                <w:szCs w:val="20"/>
                <w:color w:val="auto"/>
              </w:rPr>
            </w:pPr>
            <w:r>
              <w:rPr>
                <w:rFonts w:ascii="Arial" w:cs="Arial" w:eastAsia="Arial" w:hAnsi="Arial"/>
                <w:sz w:val="14"/>
                <w:szCs w:val="14"/>
                <w:color w:val="auto"/>
              </w:rPr>
              <w:t>•</w:t>
            </w:r>
          </w:p>
        </w:tc>
        <w:tc>
          <w:tcPr>
            <w:tcW w:w="3240" w:type="dxa"/>
            <w:vAlign w:val="bottom"/>
          </w:tcPr>
          <w:p>
            <w:pPr>
              <w:ind w:left="80"/>
              <w:spacing w:after="0"/>
              <w:rPr>
                <w:sz w:val="20"/>
                <w:szCs w:val="20"/>
                <w:color w:val="auto"/>
              </w:rPr>
            </w:pPr>
            <w:r>
              <w:rPr>
                <w:rFonts w:ascii="Arial" w:cs="Arial" w:eastAsia="Arial" w:hAnsi="Arial"/>
                <w:sz w:val="14"/>
                <w:szCs w:val="14"/>
                <w:color w:val="auto"/>
              </w:rPr>
              <w:t>BS, United States Military Academy at West Point</w:t>
            </w:r>
          </w:p>
        </w:tc>
      </w:tr>
      <w:tr>
        <w:trPr>
          <w:trHeight w:val="243"/>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0" w:type="dxa"/>
            <w:vAlign w:val="bottom"/>
          </w:tcPr>
          <w:p>
            <w:pPr>
              <w:ind w:left="80"/>
              <w:spacing w:after="0"/>
              <w:rPr>
                <w:sz w:val="20"/>
                <w:szCs w:val="20"/>
                <w:color w:val="auto"/>
              </w:rPr>
            </w:pPr>
            <w:r>
              <w:rPr>
                <w:rFonts w:ascii="Arial" w:cs="Arial" w:eastAsia="Arial" w:hAnsi="Arial"/>
                <w:sz w:val="14"/>
                <w:szCs w:val="14"/>
                <w:color w:val="auto"/>
              </w:rPr>
              <w:t>TD SYNNEX Corporation (2025 – present)</w:t>
            </w:r>
          </w:p>
        </w:tc>
        <w:tc>
          <w:tcPr>
            <w:tcW w:w="620" w:type="dxa"/>
            <w:vAlign w:val="bottom"/>
          </w:tcPr>
          <w:p>
            <w:pPr>
              <w:ind w:left="500"/>
              <w:spacing w:after="0"/>
              <w:rPr>
                <w:sz w:val="20"/>
                <w:szCs w:val="20"/>
                <w:color w:val="auto"/>
              </w:rPr>
            </w:pPr>
            <w:r>
              <w:rPr>
                <w:rFonts w:ascii="Arial" w:cs="Arial" w:eastAsia="Arial" w:hAnsi="Arial"/>
                <w:sz w:val="14"/>
                <w:szCs w:val="14"/>
                <w:color w:val="auto"/>
              </w:rPr>
              <w:t>•</w:t>
            </w:r>
          </w:p>
        </w:tc>
        <w:tc>
          <w:tcPr>
            <w:tcW w:w="3240" w:type="dxa"/>
            <w:vAlign w:val="bottom"/>
          </w:tcPr>
          <w:p>
            <w:pPr>
              <w:ind w:left="80"/>
              <w:spacing w:after="0"/>
              <w:rPr>
                <w:sz w:val="20"/>
                <w:szCs w:val="20"/>
                <w:color w:val="auto"/>
              </w:rPr>
            </w:pPr>
            <w:r>
              <w:rPr>
                <w:rFonts w:ascii="Arial" w:cs="Arial" w:eastAsia="Arial" w:hAnsi="Arial"/>
                <w:sz w:val="14"/>
                <w:szCs w:val="14"/>
                <w:color w:val="auto"/>
              </w:rPr>
              <w:t>MBA, University of Texas at El Paso</w:t>
            </w:r>
          </w:p>
        </w:tc>
      </w:tr>
    </w:tbl>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431C5B"/>
        </w:rPr>
        <w:t>Other Public Company Boards (Former)</w:t>
      </w:r>
    </w:p>
    <w:p>
      <w:pPr>
        <w:spacing w:after="0" w:line="127" w:lineRule="exact"/>
        <w:rPr>
          <w:sz w:val="20"/>
          <w:szCs w:val="20"/>
          <w:color w:val="auto"/>
        </w:rPr>
      </w:pPr>
    </w:p>
    <w:p>
      <w:pPr>
        <w:ind w:left="520" w:hanging="20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Insight Enterprises, Inc. (2010 – 2021)</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25</w:t>
      </w:r>
    </w:p>
    <w:p>
      <w:pPr>
        <w:sectPr>
          <w:pgSz w:w="11900" w:h="16838" w:orient="portrait"/>
          <w:cols w:equalWidth="0" w:num="1">
            <w:col w:w="9019"/>
          </w:cols>
          <w:pgMar w:left="1440" w:top="657" w:right="1440" w:bottom="1440" w:gutter="0" w:footer="0" w:header="0"/>
          <w:type w:val="continuous"/>
        </w:sectPr>
      </w:pPr>
    </w:p>
    <w:bookmarkStart w:id="28" w:name="page29"/>
    <w:bookmarkEnd w:id="28"/>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60"/>
        <w:spacing w:after="0"/>
        <w:rPr>
          <w:sz w:val="20"/>
          <w:szCs w:val="20"/>
          <w:color w:val="auto"/>
        </w:rPr>
      </w:pPr>
      <w:r>
        <w:rPr>
          <w:rFonts w:ascii="Arial" w:cs="Arial" w:eastAsia="Arial" w:hAnsi="Arial"/>
          <w:sz w:val="27"/>
          <w:szCs w:val="27"/>
          <w:b w:val="1"/>
          <w:bCs w:val="1"/>
          <w:color w:val="431C5B"/>
        </w:rPr>
        <w:t>Gary L. Lauer</w:t>
      </w:r>
    </w:p>
    <w:p>
      <w:pPr>
        <w:spacing w:after="0" w:line="48"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431C5B"/>
        </w:rPr>
        <w:t>Independent Director</w:t>
      </w:r>
    </w:p>
    <w:p>
      <w:pPr>
        <w:spacing w:after="0" w:line="163" w:lineRule="exact"/>
        <w:rPr>
          <w:sz w:val="20"/>
          <w:szCs w:val="20"/>
          <w:color w:val="auto"/>
        </w:rPr>
      </w:pPr>
    </w:p>
    <w:tbl>
      <w:tblPr>
        <w:tblLayout w:type="fixed"/>
        <w:tblInd w:w="2360" w:type="dxa"/>
        <w:tblCellMar>
          <w:top w:w="0" w:type="dxa"/>
          <w:left w:w="0" w:type="dxa"/>
          <w:bottom w:w="0" w:type="dxa"/>
          <w:right w:w="0" w:type="dxa"/>
        </w:tblCellMar>
      </w:tblPr>
      <w:tr>
        <w:trPr>
          <w:trHeight w:val="175"/>
        </w:trPr>
        <w:tc>
          <w:tcPr>
            <w:tcW w:w="2760" w:type="dxa"/>
            <w:vAlign w:val="bottom"/>
          </w:tcPr>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auto"/>
              </w:rPr>
              <w:t>73</w:t>
            </w:r>
            <w:r>
              <w:rPr>
                <w:rFonts w:ascii="Arial" w:cs="Arial" w:eastAsia="Arial" w:hAnsi="Arial"/>
                <w:sz w:val="14"/>
                <w:szCs w:val="14"/>
                <w:color w:val="auto"/>
              </w:rPr>
              <w:t xml:space="preserve"> | Director since: </w:t>
            </w:r>
            <w:r>
              <w:rPr>
                <w:rFonts w:ascii="Arial" w:cs="Arial" w:eastAsia="Arial" w:hAnsi="Arial"/>
                <w:sz w:val="14"/>
                <w:szCs w:val="14"/>
                <w:b w:val="1"/>
                <w:bCs w:val="1"/>
                <w:color w:val="auto"/>
              </w:rPr>
              <w:t>2019</w:t>
            </w:r>
          </w:p>
        </w:tc>
        <w:tc>
          <w:tcPr>
            <w:tcW w:w="3560" w:type="dxa"/>
            <w:vAlign w:val="bottom"/>
          </w:tcPr>
          <w:p>
            <w:pPr>
              <w:ind w:left="620"/>
              <w:spacing w:after="0"/>
              <w:rPr>
                <w:sz w:val="20"/>
                <w:szCs w:val="20"/>
                <w:color w:val="auto"/>
              </w:rPr>
            </w:pPr>
            <w:r>
              <w:rPr>
                <w:rFonts w:ascii="Arial" w:cs="Arial" w:eastAsia="Arial" w:hAnsi="Arial"/>
                <w:sz w:val="14"/>
                <w:szCs w:val="14"/>
                <w:color w:val="auto"/>
              </w:rPr>
              <w:t xml:space="preserve">Committee Member: </w:t>
            </w:r>
            <w:r>
              <w:rPr>
                <w:rFonts w:ascii="Arial" w:cs="Arial" w:eastAsia="Arial" w:hAnsi="Arial"/>
                <w:sz w:val="14"/>
                <w:szCs w:val="14"/>
                <w:b w:val="1"/>
                <w:bCs w:val="1"/>
                <w:color w:val="auto"/>
              </w:rPr>
              <w:t>Corporate Governance,</w:t>
            </w:r>
          </w:p>
        </w:tc>
        <w:tc>
          <w:tcPr>
            <w:tcW w:w="0" w:type="dxa"/>
            <w:vAlign w:val="bottom"/>
          </w:tcPr>
          <w:p>
            <w:pPr>
              <w:spacing w:after="0"/>
              <w:rPr>
                <w:sz w:val="1"/>
                <w:szCs w:val="1"/>
                <w:color w:val="auto"/>
              </w:rPr>
            </w:pPr>
          </w:p>
        </w:tc>
      </w:tr>
      <w:tr>
        <w:trPr>
          <w:trHeight w:val="196"/>
        </w:trPr>
        <w:tc>
          <w:tcPr>
            <w:tcW w:w="2760" w:type="dxa"/>
            <w:vAlign w:val="bottom"/>
            <w:vMerge w:val="restart"/>
          </w:tcPr>
          <w:p>
            <w:pPr>
              <w:spacing w:after="0"/>
              <w:rPr>
                <w:sz w:val="20"/>
                <w:szCs w:val="20"/>
                <w:color w:val="auto"/>
              </w:rPr>
            </w:pPr>
            <w:r>
              <w:rPr>
                <w:rFonts w:ascii="Arial" w:cs="Arial" w:eastAsia="Arial" w:hAnsi="Arial"/>
                <w:sz w:val="14"/>
                <w:szCs w:val="14"/>
                <w:color w:val="auto"/>
              </w:rPr>
              <w:t xml:space="preserve">Committee Chair: </w:t>
            </w:r>
            <w:r>
              <w:rPr>
                <w:rFonts w:ascii="Arial" w:cs="Arial" w:eastAsia="Arial" w:hAnsi="Arial"/>
                <w:sz w:val="14"/>
                <w:szCs w:val="14"/>
                <w:b w:val="1"/>
                <w:bCs w:val="1"/>
                <w:color w:val="auto"/>
              </w:rPr>
              <w:t>Compensation</w:t>
            </w:r>
          </w:p>
        </w:tc>
        <w:tc>
          <w:tcPr>
            <w:tcW w:w="3560" w:type="dxa"/>
            <w:vAlign w:val="bottom"/>
          </w:tcPr>
          <w:p>
            <w:pPr>
              <w:ind w:left="620"/>
              <w:spacing w:after="0"/>
              <w:rPr>
                <w:sz w:val="20"/>
                <w:szCs w:val="20"/>
                <w:color w:val="auto"/>
              </w:rPr>
            </w:pPr>
            <w:r>
              <w:rPr>
                <w:rFonts w:ascii="Arial" w:cs="Arial" w:eastAsia="Arial" w:hAnsi="Arial"/>
                <w:sz w:val="14"/>
                <w:szCs w:val="14"/>
                <w:b w:val="1"/>
                <w:bCs w:val="1"/>
                <w:color w:val="auto"/>
              </w:rPr>
              <w:t>Nominating and Sustainability, Executive</w:t>
            </w:r>
          </w:p>
        </w:tc>
        <w:tc>
          <w:tcPr>
            <w:tcW w:w="0" w:type="dxa"/>
            <w:vAlign w:val="bottom"/>
          </w:tcPr>
          <w:p>
            <w:pPr>
              <w:spacing w:after="0"/>
              <w:rPr>
                <w:sz w:val="1"/>
                <w:szCs w:val="1"/>
                <w:color w:val="auto"/>
              </w:rPr>
            </w:pPr>
          </w:p>
        </w:tc>
      </w:tr>
      <w:tr>
        <w:trPr>
          <w:trHeight w:val="108"/>
        </w:trPr>
        <w:tc>
          <w:tcPr>
            <w:tcW w:w="2760" w:type="dxa"/>
            <w:vAlign w:val="bottom"/>
            <w:vMerge w:val="continue"/>
          </w:tcPr>
          <w:p>
            <w:pPr>
              <w:spacing w:after="0"/>
              <w:rPr>
                <w:sz w:val="9"/>
                <w:szCs w:val="9"/>
                <w:color w:val="auto"/>
              </w:rPr>
            </w:pPr>
          </w:p>
        </w:tc>
        <w:tc>
          <w:tcPr>
            <w:tcW w:w="3560" w:type="dxa"/>
            <w:vAlign w:val="bottom"/>
            <w:vMerge w:val="restart"/>
          </w:tcPr>
          <w:p>
            <w:pPr>
              <w:ind w:left="620"/>
              <w:spacing w:after="0"/>
              <w:rPr>
                <w:sz w:val="20"/>
                <w:szCs w:val="20"/>
                <w:color w:val="auto"/>
              </w:rPr>
            </w:pPr>
            <w:r>
              <w:rPr>
                <w:rFonts w:ascii="Arial" w:cs="Arial" w:eastAsia="Arial" w:hAnsi="Arial"/>
                <w:sz w:val="14"/>
                <w:szCs w:val="14"/>
                <w:color w:val="auto"/>
              </w:rPr>
              <w:t xml:space="preserve">Other Current Public Company Boards: </w:t>
            </w:r>
            <w:r>
              <w:rPr>
                <w:rFonts w:ascii="Arial" w:cs="Arial" w:eastAsia="Arial" w:hAnsi="Arial"/>
                <w:sz w:val="14"/>
                <w:szCs w:val="14"/>
                <w:b w:val="1"/>
                <w:bCs w:val="1"/>
                <w:color w:val="auto"/>
              </w:rPr>
              <w:t>None</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31C5B"/>
        </w:rPr>
        <w:t>Skills and Qualifications</w:t>
      </w:r>
    </w:p>
    <w:p>
      <w:pPr>
        <w:spacing w:after="0" w:line="48" w:lineRule="exact"/>
        <w:rPr>
          <w:sz w:val="20"/>
          <w:szCs w:val="20"/>
          <w:color w:val="auto"/>
        </w:rPr>
      </w:pPr>
    </w:p>
    <w:tbl>
      <w:tblPr>
        <w:tblLayout w:type="fixed"/>
        <w:tblInd w:w="300" w:type="dxa"/>
        <w:tblCellMar>
          <w:top w:w="0" w:type="dxa"/>
          <w:left w:w="0" w:type="dxa"/>
          <w:bottom w:w="0" w:type="dxa"/>
          <w:right w:w="0" w:type="dxa"/>
        </w:tblCellMar>
      </w:tblPr>
      <w:tr>
        <w:trPr>
          <w:trHeight w:val="34"/>
        </w:trPr>
        <w:tc>
          <w:tcPr>
            <w:tcW w:w="640" w:type="dxa"/>
            <w:vAlign w:val="bottom"/>
            <w:shd w:val="clear" w:color="auto" w:fill="ECE8EF"/>
          </w:tcPr>
          <w:p>
            <w:pPr>
              <w:spacing w:after="0"/>
              <w:rPr>
                <w:sz w:val="2"/>
                <w:szCs w:val="2"/>
                <w:color w:val="auto"/>
              </w:rPr>
            </w:pPr>
          </w:p>
        </w:tc>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3"/>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Executive Leadership</w:t>
            </w:r>
          </w:p>
        </w:tc>
        <w:tc>
          <w:tcPr>
            <w:tcW w:w="640" w:type="dxa"/>
            <w:vAlign w:val="bottom"/>
            <w:shd w:val="clear" w:color="auto" w:fill="ECE8EF"/>
          </w:tcPr>
          <w:p>
            <w:pPr>
              <w:spacing w:after="0"/>
              <w:rPr>
                <w:sz w:val="24"/>
                <w:szCs w:val="24"/>
                <w:color w:val="auto"/>
              </w:rPr>
            </w:pPr>
          </w:p>
        </w:tc>
        <w:tc>
          <w:tcPr>
            <w:tcW w:w="2900" w:type="dxa"/>
            <w:vAlign w:val="bottom"/>
            <w:gridSpan w:val="2"/>
            <w:shd w:val="clear" w:color="auto" w:fill="ECE8EF"/>
          </w:tcPr>
          <w:p>
            <w:pPr>
              <w:ind w:left="40"/>
              <w:spacing w:after="0"/>
              <w:rPr>
                <w:sz w:val="20"/>
                <w:szCs w:val="20"/>
                <w:color w:val="auto"/>
              </w:rPr>
            </w:pPr>
            <w:r>
              <w:rPr>
                <w:rFonts w:ascii="Arial" w:cs="Arial" w:eastAsia="Arial" w:hAnsi="Arial"/>
                <w:sz w:val="14"/>
                <w:szCs w:val="14"/>
                <w:color w:val="auto"/>
              </w:rPr>
              <w:t>Global Business Experience</w:t>
            </w:r>
          </w:p>
        </w:tc>
        <w:tc>
          <w:tcPr>
            <w:tcW w:w="2180" w:type="dxa"/>
            <w:vAlign w:val="bottom"/>
            <w:shd w:val="clear" w:color="auto" w:fill="ECE8EF"/>
          </w:tcPr>
          <w:p>
            <w:pPr>
              <w:ind w:left="60"/>
              <w:spacing w:after="0"/>
              <w:rPr>
                <w:sz w:val="20"/>
                <w:szCs w:val="20"/>
                <w:color w:val="auto"/>
              </w:rPr>
            </w:pPr>
            <w:r>
              <w:rPr>
                <w:rFonts w:ascii="Arial" w:cs="Arial" w:eastAsia="Arial" w:hAnsi="Arial"/>
                <w:sz w:val="14"/>
                <w:szCs w:val="14"/>
                <w:color w:val="auto"/>
              </w:rPr>
              <w:t>Financial Expertise</w:t>
            </w:r>
          </w:p>
        </w:tc>
        <w:tc>
          <w:tcPr>
            <w:tcW w:w="0" w:type="dxa"/>
            <w:vAlign w:val="bottom"/>
          </w:tcPr>
          <w:p>
            <w:pPr>
              <w:spacing w:after="0"/>
              <w:rPr>
                <w:sz w:val="1"/>
                <w:szCs w:val="1"/>
                <w:color w:val="auto"/>
              </w:rPr>
            </w:pPr>
          </w:p>
        </w:tc>
      </w:tr>
      <w:tr>
        <w:trPr>
          <w:trHeight w:val="444"/>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Public Company</w:t>
            </w:r>
          </w:p>
        </w:tc>
        <w:tc>
          <w:tcPr>
            <w:tcW w:w="640" w:type="dxa"/>
            <w:vAlign w:val="bottom"/>
            <w:shd w:val="clear" w:color="auto" w:fill="ECE8EF"/>
          </w:tcPr>
          <w:p>
            <w:pPr>
              <w:spacing w:after="0"/>
              <w:rPr>
                <w:sz w:val="24"/>
                <w:szCs w:val="24"/>
                <w:color w:val="auto"/>
              </w:rPr>
            </w:pPr>
          </w:p>
        </w:tc>
        <w:tc>
          <w:tcPr>
            <w:tcW w:w="226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Human Capital Management</w:t>
            </w:r>
          </w:p>
        </w:tc>
        <w:tc>
          <w:tcPr>
            <w:tcW w:w="640" w:type="dxa"/>
            <w:vAlign w:val="bottom"/>
            <w:shd w:val="clear" w:color="auto" w:fill="ECE8EF"/>
          </w:tcPr>
          <w:p>
            <w:pPr>
              <w:spacing w:after="0"/>
              <w:rPr>
                <w:sz w:val="24"/>
                <w:szCs w:val="24"/>
                <w:color w:val="auto"/>
              </w:rPr>
            </w:pPr>
          </w:p>
        </w:tc>
        <w:tc>
          <w:tcPr>
            <w:tcW w:w="2180" w:type="dxa"/>
            <w:vAlign w:val="bottom"/>
            <w:shd w:val="clear" w:color="auto" w:fill="ECE8EF"/>
          </w:tcPr>
          <w:p>
            <w:pPr>
              <w:ind w:left="60"/>
              <w:spacing w:after="0"/>
              <w:rPr>
                <w:sz w:val="20"/>
                <w:szCs w:val="20"/>
                <w:color w:val="auto"/>
              </w:rPr>
            </w:pPr>
            <w:r>
              <w:rPr>
                <w:rFonts w:ascii="Arial" w:cs="Arial" w:eastAsia="Arial" w:hAnsi="Arial"/>
                <w:sz w:val="14"/>
                <w:szCs w:val="14"/>
                <w:color w:val="auto"/>
              </w:rPr>
              <w:t>Mergers and Acquisitions/</w:t>
            </w:r>
          </w:p>
        </w:tc>
        <w:tc>
          <w:tcPr>
            <w:tcW w:w="0" w:type="dxa"/>
            <w:vAlign w:val="bottom"/>
          </w:tcPr>
          <w:p>
            <w:pPr>
              <w:spacing w:after="0"/>
              <w:rPr>
                <w:sz w:val="1"/>
                <w:szCs w:val="1"/>
                <w:color w:val="auto"/>
              </w:rPr>
            </w:pPr>
          </w:p>
        </w:tc>
      </w:tr>
      <w:tr>
        <w:trPr>
          <w:trHeight w:val="96"/>
        </w:trPr>
        <w:tc>
          <w:tcPr>
            <w:tcW w:w="64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Board Experience</w:t>
            </w:r>
          </w:p>
        </w:tc>
        <w:tc>
          <w:tcPr>
            <w:tcW w:w="640" w:type="dxa"/>
            <w:vAlign w:val="bottom"/>
            <w:shd w:val="clear" w:color="auto" w:fill="ECE8EF"/>
          </w:tcPr>
          <w:p>
            <w:pPr>
              <w:spacing w:after="0"/>
              <w:rPr>
                <w:sz w:val="8"/>
                <w:szCs w:val="8"/>
                <w:color w:val="auto"/>
              </w:rPr>
            </w:pPr>
          </w:p>
        </w:tc>
        <w:tc>
          <w:tcPr>
            <w:tcW w:w="226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vMerge w:val="restart"/>
            <w:shd w:val="clear" w:color="auto" w:fill="ECE8EF"/>
          </w:tcPr>
          <w:p>
            <w:pPr>
              <w:ind w:left="60"/>
              <w:spacing w:after="0"/>
              <w:rPr>
                <w:sz w:val="20"/>
                <w:szCs w:val="20"/>
                <w:color w:val="auto"/>
              </w:rPr>
            </w:pPr>
            <w:r>
              <w:rPr>
                <w:rFonts w:ascii="Arial" w:cs="Arial" w:eastAsia="Arial" w:hAnsi="Arial"/>
                <w:sz w:val="14"/>
                <w:szCs w:val="14"/>
                <w:color w:val="auto"/>
              </w:rPr>
              <w:t>Capital Allocation</w:t>
            </w:r>
          </w:p>
        </w:tc>
        <w:tc>
          <w:tcPr>
            <w:tcW w:w="0" w:type="dxa"/>
            <w:vAlign w:val="bottom"/>
          </w:tcPr>
          <w:p>
            <w:pPr>
              <w:spacing w:after="0"/>
              <w:rPr>
                <w:sz w:val="1"/>
                <w:szCs w:val="1"/>
                <w:color w:val="auto"/>
              </w:rPr>
            </w:pPr>
          </w:p>
        </w:tc>
      </w:tr>
      <w:tr>
        <w:trPr>
          <w:trHeight w:val="94"/>
        </w:trPr>
        <w:tc>
          <w:tcPr>
            <w:tcW w:w="64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vMerge w:val="continue"/>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Government and Regulatory</w:t>
            </w:r>
          </w:p>
        </w:tc>
        <w:tc>
          <w:tcPr>
            <w:tcW w:w="640" w:type="dxa"/>
            <w:vAlign w:val="bottom"/>
            <w:shd w:val="clear" w:color="auto" w:fill="ECE8EF"/>
          </w:tcPr>
          <w:p>
            <w:pPr>
              <w:spacing w:after="0"/>
              <w:rPr>
                <w:sz w:val="24"/>
                <w:szCs w:val="24"/>
                <w:color w:val="auto"/>
              </w:rPr>
            </w:pPr>
          </w:p>
        </w:tc>
        <w:tc>
          <w:tcPr>
            <w:tcW w:w="2260" w:type="dxa"/>
            <w:vAlign w:val="bottom"/>
            <w:shd w:val="clear" w:color="auto" w:fill="ECE8EF"/>
          </w:tcPr>
          <w:p>
            <w:pPr>
              <w:ind w:left="40"/>
              <w:spacing w:after="0"/>
              <w:rPr>
                <w:sz w:val="20"/>
                <w:szCs w:val="20"/>
                <w:color w:val="auto"/>
              </w:rPr>
            </w:pPr>
            <w:r>
              <w:rPr>
                <w:rFonts w:ascii="Arial" w:cs="Arial" w:eastAsia="Arial" w:hAnsi="Arial"/>
                <w:sz w:val="14"/>
                <w:szCs w:val="14"/>
                <w:color w:val="auto"/>
              </w:rPr>
              <w:t>Technology</w:t>
            </w:r>
          </w:p>
        </w:tc>
        <w:tc>
          <w:tcPr>
            <w:tcW w:w="640" w:type="dxa"/>
            <w:vAlign w:val="bottom"/>
            <w:shd w:val="clear" w:color="auto" w:fill="ECE8EF"/>
          </w:tcPr>
          <w:p>
            <w:pPr>
              <w:spacing w:after="0"/>
              <w:rPr>
                <w:sz w:val="24"/>
                <w:szCs w:val="24"/>
                <w:color w:val="auto"/>
              </w:rPr>
            </w:pPr>
          </w:p>
        </w:tc>
        <w:tc>
          <w:tcPr>
            <w:tcW w:w="2180" w:type="dxa"/>
            <w:vAlign w:val="bottom"/>
            <w:shd w:val="clear" w:color="auto" w:fill="ECE8EF"/>
          </w:tcPr>
          <w:p>
            <w:pPr>
              <w:ind w:left="60"/>
              <w:spacing w:after="0"/>
              <w:rPr>
                <w:sz w:val="20"/>
                <w:szCs w:val="20"/>
                <w:color w:val="auto"/>
              </w:rPr>
            </w:pPr>
            <w:r>
              <w:rPr>
                <w:rFonts w:ascii="Arial" w:cs="Arial" w:eastAsia="Arial" w:hAnsi="Arial"/>
                <w:sz w:val="14"/>
                <w:szCs w:val="14"/>
                <w:color w:val="auto"/>
              </w:rPr>
              <w:t>Business Transformation</w:t>
            </w:r>
          </w:p>
        </w:tc>
        <w:tc>
          <w:tcPr>
            <w:tcW w:w="0" w:type="dxa"/>
            <w:vAlign w:val="bottom"/>
          </w:tcPr>
          <w:p>
            <w:pPr>
              <w:spacing w:after="0"/>
              <w:rPr>
                <w:sz w:val="1"/>
                <w:szCs w:val="1"/>
                <w:color w:val="auto"/>
              </w:rPr>
            </w:pPr>
          </w:p>
        </w:tc>
      </w:tr>
      <w:tr>
        <w:trPr>
          <w:trHeight w:val="305"/>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2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431C5B"/>
        </w:rPr>
        <w:t>Experience</w:t>
      </w:r>
    </w:p>
    <w:p>
      <w:pPr>
        <w:spacing w:after="0" w:line="127" w:lineRule="exact"/>
        <w:rPr>
          <w:sz w:val="20"/>
          <w:szCs w:val="20"/>
          <w:color w:val="auto"/>
        </w:rPr>
      </w:pPr>
    </w:p>
    <w:p>
      <w:pPr>
        <w:ind w:left="520" w:hanging="196"/>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Executive Director and a Co-founder, </w:t>
      </w:r>
      <w:r>
        <w:rPr>
          <w:rFonts w:ascii="Arial" w:cs="Arial" w:eastAsia="Arial" w:hAnsi="Arial"/>
          <w:sz w:val="14"/>
          <w:szCs w:val="14"/>
          <w:b w:val="1"/>
          <w:bCs w:val="1"/>
          <w:color w:val="auto"/>
        </w:rPr>
        <w:t>Eminent Series Group</w:t>
      </w:r>
      <w:r>
        <w:rPr>
          <w:rFonts w:ascii="Arial" w:cs="Arial" w:eastAsia="Arial" w:hAnsi="Arial"/>
          <w:sz w:val="14"/>
          <w:szCs w:val="14"/>
          <w:color w:val="auto"/>
        </w:rPr>
        <w:t xml:space="preserve"> (2017 – present)</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b w:val="1"/>
          <w:bCs w:val="1"/>
          <w:color w:val="auto"/>
        </w:rPr>
        <w:t xml:space="preserve">University of Southern California </w:t>
      </w:r>
      <w:r>
        <w:rPr>
          <w:rFonts w:ascii="Arial" w:cs="Arial" w:eastAsia="Arial" w:hAnsi="Arial"/>
          <w:sz w:val="14"/>
          <w:szCs w:val="14"/>
          <w:color w:val="auto"/>
        </w:rPr>
        <w:t>Board of Leaders (2009 – present)</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Chairman and Chief Executive Officer, </w:t>
      </w:r>
      <w:r>
        <w:rPr>
          <w:rFonts w:ascii="Arial" w:cs="Arial" w:eastAsia="Arial" w:hAnsi="Arial"/>
          <w:sz w:val="14"/>
          <w:szCs w:val="14"/>
          <w:b w:val="1"/>
          <w:bCs w:val="1"/>
          <w:color w:val="auto"/>
        </w:rPr>
        <w:t>eHealth, Inc.</w:t>
      </w:r>
      <w:r>
        <w:rPr>
          <w:rFonts w:ascii="Arial" w:cs="Arial" w:eastAsia="Arial" w:hAnsi="Arial"/>
          <w:sz w:val="14"/>
          <w:szCs w:val="14"/>
          <w:color w:val="auto"/>
        </w:rPr>
        <w:t xml:space="preserve"> (1999 – 2016)</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Chairman and Chief Executive Officer, </w:t>
      </w:r>
      <w:r>
        <w:rPr>
          <w:rFonts w:ascii="Arial" w:cs="Arial" w:eastAsia="Arial" w:hAnsi="Arial"/>
          <w:sz w:val="14"/>
          <w:szCs w:val="14"/>
          <w:b w:val="1"/>
          <w:bCs w:val="1"/>
          <w:color w:val="auto"/>
        </w:rPr>
        <w:t>MetaCreations Corporation</w:t>
      </w:r>
      <w:r>
        <w:rPr>
          <w:rFonts w:ascii="Arial" w:cs="Arial" w:eastAsia="Arial" w:hAnsi="Arial"/>
          <w:sz w:val="14"/>
          <w:szCs w:val="14"/>
          <w:color w:val="auto"/>
        </w:rPr>
        <w:t xml:space="preserve"> (1998 – 1999)</w:t>
      </w:r>
    </w:p>
    <w:p>
      <w:pPr>
        <w:spacing w:after="0" w:line="82" w:lineRule="exact"/>
        <w:rPr>
          <w:rFonts w:ascii="Arial" w:cs="Arial" w:eastAsia="Arial" w:hAnsi="Arial"/>
          <w:sz w:val="14"/>
          <w:szCs w:val="14"/>
          <w:color w:val="auto"/>
        </w:rPr>
      </w:pPr>
    </w:p>
    <w:p>
      <w:pPr>
        <w:ind w:left="520" w:right="559" w:hanging="196"/>
        <w:spacing w:after="0" w:line="322"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Held senior executive positions, including Executive Vice President and President, World Trade Corp, </w:t>
      </w:r>
      <w:r>
        <w:rPr>
          <w:rFonts w:ascii="Arial" w:cs="Arial" w:eastAsia="Arial" w:hAnsi="Arial"/>
          <w:sz w:val="14"/>
          <w:szCs w:val="14"/>
          <w:b w:val="1"/>
          <w:bCs w:val="1"/>
          <w:color w:val="auto"/>
        </w:rPr>
        <w:t>Silicon Graphics, Inc.</w:t>
      </w:r>
      <w:r>
        <w:rPr>
          <w:rFonts w:ascii="Arial" w:cs="Arial" w:eastAsia="Arial" w:hAnsi="Arial"/>
          <w:sz w:val="14"/>
          <w:szCs w:val="14"/>
          <w:color w:val="auto"/>
        </w:rPr>
        <w:t xml:space="preserve"> (1987 – 1997)</w:t>
      </w:r>
    </w:p>
    <w:p>
      <w:pPr>
        <w:ind w:left="520" w:hanging="196"/>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Began his career at IBM</w:t>
      </w:r>
    </w:p>
    <w:p>
      <w:pPr>
        <w:spacing w:after="0" w:line="396" w:lineRule="exact"/>
        <w:rPr>
          <w:sz w:val="20"/>
          <w:szCs w:val="20"/>
          <w:color w:val="auto"/>
        </w:rPr>
      </w:pPr>
    </w:p>
    <w:p>
      <w:pPr>
        <w:ind w:left="320"/>
        <w:spacing w:after="0"/>
        <w:tabs>
          <w:tab w:leader="none" w:pos="4720" w:val="left"/>
        </w:tabs>
        <w:rPr>
          <w:sz w:val="20"/>
          <w:szCs w:val="20"/>
          <w:color w:val="auto"/>
        </w:rPr>
      </w:pPr>
      <w:r>
        <w:rPr>
          <w:rFonts w:ascii="Arial" w:cs="Arial" w:eastAsia="Arial" w:hAnsi="Arial"/>
          <w:sz w:val="18"/>
          <w:szCs w:val="18"/>
          <w:b w:val="1"/>
          <w:bCs w:val="1"/>
          <w:color w:val="431C5B"/>
        </w:rPr>
        <w:t>Other Public Company Boards (Former)</w:t>
      </w:r>
      <w:r>
        <w:rPr>
          <w:sz w:val="20"/>
          <w:szCs w:val="20"/>
          <w:color w:val="auto"/>
        </w:rPr>
        <w:tab/>
      </w:r>
      <w:r>
        <w:rPr>
          <w:rFonts w:ascii="Arial" w:cs="Arial" w:eastAsia="Arial" w:hAnsi="Arial"/>
          <w:sz w:val="18"/>
          <w:szCs w:val="18"/>
          <w:b w:val="1"/>
          <w:bCs w:val="1"/>
          <w:color w:val="431C5B"/>
        </w:rPr>
        <w:t>Education</w:t>
      </w:r>
    </w:p>
    <w:p>
      <w:pPr>
        <w:spacing w:after="0" w:line="127" w:lineRule="exact"/>
        <w:rPr>
          <w:sz w:val="20"/>
          <w:szCs w:val="20"/>
          <w:color w:val="auto"/>
        </w:rPr>
      </w:pPr>
    </w:p>
    <w:p>
      <w:pPr>
        <w:ind w:left="320"/>
        <w:spacing w:after="0"/>
        <w:tabs>
          <w:tab w:leader="none" w:pos="500" w:val="left"/>
          <w:tab w:leader="none" w:pos="4720" w:val="left"/>
          <w:tab w:leader="none" w:pos="4920" w:val="left"/>
        </w:tabs>
        <w:rPr>
          <w:sz w:val="20"/>
          <w:szCs w:val="20"/>
          <w:color w:val="auto"/>
        </w:rPr>
      </w:pPr>
      <w:r>
        <w:rPr>
          <w:rFonts w:ascii="Arial" w:cs="Arial" w:eastAsia="Arial" w:hAnsi="Arial"/>
          <w:sz w:val="14"/>
          <w:szCs w:val="14"/>
          <w:color w:val="auto"/>
        </w:rPr>
        <w:t>•</w:t>
        <w:tab/>
        <w:t>Worldpay, Inc. (2012 – 2019, until its acquisition by FIS)</w:t>
      </w:r>
      <w:r>
        <w:rPr>
          <w:sz w:val="20"/>
          <w:szCs w:val="20"/>
          <w:color w:val="auto"/>
        </w:rPr>
        <w:tab/>
      </w:r>
      <w:r>
        <w:rPr>
          <w:rFonts w:ascii="Arial" w:cs="Arial" w:eastAsia="Arial" w:hAnsi="Arial"/>
          <w:sz w:val="14"/>
          <w:szCs w:val="14"/>
          <w:color w:val="auto"/>
        </w:rPr>
        <w:t>•</w:t>
        <w:tab/>
        <w:t>BS, University of Southern California</w:t>
      </w:r>
    </w:p>
    <w:p>
      <w:pPr>
        <w:spacing w:after="0" w:line="82" w:lineRule="exact"/>
        <w:rPr>
          <w:sz w:val="20"/>
          <w:szCs w:val="20"/>
          <w:color w:val="auto"/>
        </w:rPr>
      </w:pPr>
    </w:p>
    <w:p>
      <w:pPr>
        <w:ind w:left="320"/>
        <w:spacing w:after="0"/>
        <w:tabs>
          <w:tab w:leader="none" w:pos="500" w:val="left"/>
        </w:tabs>
        <w:rPr>
          <w:sz w:val="20"/>
          <w:szCs w:val="20"/>
          <w:color w:val="auto"/>
        </w:rPr>
      </w:pPr>
      <w:r>
        <w:rPr>
          <w:rFonts w:ascii="Arial" w:cs="Arial" w:eastAsia="Arial" w:hAnsi="Arial"/>
          <w:sz w:val="14"/>
          <w:szCs w:val="14"/>
          <w:color w:val="auto"/>
        </w:rPr>
        <w:t>•</w:t>
        <w:tab/>
        <w:t>eHealth, Inc. (1999 – 2016)</w:t>
      </w:r>
    </w:p>
    <w:p>
      <w:pPr>
        <w:spacing w:after="0" w:line="82" w:lineRule="exact"/>
        <w:rPr>
          <w:sz w:val="20"/>
          <w:szCs w:val="20"/>
          <w:color w:val="auto"/>
        </w:rPr>
      </w:pPr>
    </w:p>
    <w:p>
      <w:pPr>
        <w:ind w:left="320"/>
        <w:spacing w:after="0"/>
        <w:tabs>
          <w:tab w:leader="none" w:pos="500" w:val="left"/>
        </w:tabs>
        <w:rPr>
          <w:sz w:val="20"/>
          <w:szCs w:val="20"/>
          <w:color w:val="auto"/>
        </w:rPr>
      </w:pPr>
      <w:r>
        <w:rPr>
          <w:rFonts w:ascii="Arial" w:cs="Arial" w:eastAsia="Arial" w:hAnsi="Arial"/>
          <w:sz w:val="14"/>
          <w:szCs w:val="14"/>
          <w:color w:val="auto"/>
        </w:rPr>
        <w:t>•</w:t>
        <w:tab/>
        <w:t>MetaCreations Corporation (1998 – 1999)</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hanging="429"/>
        <w:spacing w:after="0"/>
        <w:tabs>
          <w:tab w:leader="none" w:pos="620" w:val="left"/>
        </w:tabs>
        <w:numPr>
          <w:ilvl w:val="0"/>
          <w:numId w:val="41"/>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29" w:name="page30"/>
    <w:bookmarkEnd w:id="29"/>
    <w:tbl>
      <w:tblPr>
        <w:tblLayout w:type="fixed"/>
        <w:tblInd w:w="236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3400" w:type="dxa"/>
            <w:vAlign w:val="bottom"/>
          </w:tcPr>
          <w:p>
            <w:pPr>
              <w:ind w:left="1160"/>
              <w:spacing w:after="0"/>
              <w:rPr>
                <w:sz w:val="20"/>
                <w:szCs w:val="20"/>
                <w:color w:val="auto"/>
              </w:rPr>
            </w:pPr>
            <w:r>
              <w:rPr>
                <w:rFonts w:ascii="Arial" w:cs="Arial" w:eastAsia="Arial" w:hAnsi="Arial"/>
                <w:sz w:val="14"/>
                <w:szCs w:val="14"/>
                <w:b w:val="1"/>
                <w:bCs w:val="1"/>
                <w:color w:val="431C5B"/>
              </w:rPr>
              <w:t>Proposal 1: Election of Directors</w:t>
            </w:r>
          </w:p>
        </w:tc>
        <w:tc>
          <w:tcPr>
            <w:tcW w:w="0" w:type="dxa"/>
            <w:vAlign w:val="bottom"/>
          </w:tcPr>
          <w:p>
            <w:pPr>
              <w:spacing w:after="0"/>
              <w:rPr>
                <w:sz w:val="1"/>
                <w:szCs w:val="1"/>
                <w:color w:val="auto"/>
              </w:rPr>
            </w:pPr>
          </w:p>
        </w:tc>
      </w:tr>
      <w:tr>
        <w:trPr>
          <w:trHeight w:val="938"/>
        </w:trPr>
        <w:tc>
          <w:tcPr>
            <w:tcW w:w="3120" w:type="dxa"/>
            <w:vAlign w:val="bottom"/>
          </w:tcPr>
          <w:p>
            <w:pPr>
              <w:spacing w:after="0"/>
              <w:rPr>
                <w:sz w:val="20"/>
                <w:szCs w:val="20"/>
                <w:color w:val="auto"/>
              </w:rPr>
            </w:pPr>
            <w:r>
              <w:rPr>
                <w:rFonts w:ascii="Arial" w:cs="Arial" w:eastAsia="Arial" w:hAnsi="Arial"/>
                <w:sz w:val="27"/>
                <w:szCs w:val="27"/>
                <w:b w:val="1"/>
                <w:bCs w:val="1"/>
                <w:color w:val="431C5B"/>
              </w:rPr>
              <w:t>James B. Stallings, Jr</w:t>
            </w:r>
            <w:r>
              <w:rPr>
                <w:rFonts w:ascii="Arial" w:cs="Arial" w:eastAsia="Arial" w:hAnsi="Arial"/>
                <w:sz w:val="25"/>
                <w:szCs w:val="25"/>
                <w:b w:val="1"/>
                <w:bCs w:val="1"/>
                <w:color w:val="431C5B"/>
              </w:rPr>
              <w: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20"/>
                <w:szCs w:val="20"/>
                <w:color w:val="auto"/>
              </w:rPr>
            </w:pPr>
            <w:r>
              <w:rPr>
                <w:rFonts w:ascii="Arial" w:cs="Arial" w:eastAsia="Arial" w:hAnsi="Arial"/>
                <w:sz w:val="14"/>
                <w:szCs w:val="14"/>
                <w:b w:val="1"/>
                <w:bCs w:val="1"/>
                <w:color w:val="431C5B"/>
              </w:rPr>
              <w:t>Independent Director</w:t>
            </w: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120" w:type="dxa"/>
            <w:vAlign w:val="bottom"/>
          </w:tcPr>
          <w:p>
            <w:pPr>
              <w:spacing w:after="0"/>
              <w:rPr>
                <w:sz w:val="20"/>
                <w:szCs w:val="20"/>
                <w:color w:val="auto"/>
              </w:rPr>
            </w:pPr>
            <w:r>
              <w:rPr>
                <w:rFonts w:ascii="Arial" w:cs="Arial" w:eastAsia="Arial" w:hAnsi="Arial"/>
                <w:sz w:val="14"/>
                <w:szCs w:val="14"/>
                <w:color w:val="auto"/>
              </w:rPr>
              <w:t xml:space="preserve">Age: 70 | Director since: </w:t>
            </w:r>
            <w:r>
              <w:rPr>
                <w:rFonts w:ascii="Arial" w:cs="Arial" w:eastAsia="Arial" w:hAnsi="Arial"/>
                <w:sz w:val="14"/>
                <w:szCs w:val="14"/>
                <w:b w:val="1"/>
                <w:bCs w:val="1"/>
                <w:color w:val="auto"/>
              </w:rPr>
              <w:t>2013</w:t>
            </w:r>
          </w:p>
        </w:tc>
        <w:tc>
          <w:tcPr>
            <w:tcW w:w="3400" w:type="dxa"/>
            <w:vAlign w:val="bottom"/>
          </w:tcPr>
          <w:p>
            <w:pPr>
              <w:ind w:left="260"/>
              <w:spacing w:after="0"/>
              <w:rPr>
                <w:sz w:val="20"/>
                <w:szCs w:val="20"/>
                <w:color w:val="auto"/>
              </w:rPr>
            </w:pPr>
            <w:r>
              <w:rPr>
                <w:rFonts w:ascii="Arial" w:cs="Arial" w:eastAsia="Arial" w:hAnsi="Arial"/>
                <w:sz w:val="14"/>
                <w:szCs w:val="14"/>
                <w:color w:val="auto"/>
              </w:rPr>
              <w:t xml:space="preserve">Committee Member: </w:t>
            </w: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89"/>
        </w:trPr>
        <w:tc>
          <w:tcPr>
            <w:tcW w:w="3120" w:type="dxa"/>
            <w:vAlign w:val="bottom"/>
            <w:vMerge w:val="restart"/>
          </w:tcPr>
          <w:p>
            <w:pPr>
              <w:spacing w:after="0"/>
              <w:rPr>
                <w:sz w:val="20"/>
                <w:szCs w:val="20"/>
                <w:color w:val="auto"/>
              </w:rPr>
            </w:pPr>
            <w:r>
              <w:rPr>
                <w:rFonts w:ascii="Arial" w:cs="Arial" w:eastAsia="Arial" w:hAnsi="Arial"/>
                <w:sz w:val="14"/>
                <w:szCs w:val="14"/>
                <w:color w:val="auto"/>
              </w:rPr>
              <w:t xml:space="preserve">Committee Chair: </w:t>
            </w:r>
            <w:r>
              <w:rPr>
                <w:rFonts w:ascii="Arial" w:cs="Arial" w:eastAsia="Arial" w:hAnsi="Arial"/>
                <w:sz w:val="14"/>
                <w:szCs w:val="14"/>
                <w:b w:val="1"/>
                <w:bCs w:val="1"/>
                <w:color w:val="auto"/>
              </w:rPr>
              <w:t>None</w:t>
            </w:r>
          </w:p>
        </w:tc>
        <w:tc>
          <w:tcPr>
            <w:tcW w:w="3400" w:type="dxa"/>
            <w:vAlign w:val="bottom"/>
          </w:tcPr>
          <w:p>
            <w:pPr>
              <w:ind w:left="260"/>
              <w:spacing w:after="0"/>
              <w:rPr>
                <w:sz w:val="20"/>
                <w:szCs w:val="20"/>
                <w:color w:val="auto"/>
              </w:rPr>
            </w:pPr>
            <w:r>
              <w:rPr>
                <w:rFonts w:ascii="Arial" w:cs="Arial" w:eastAsia="Arial" w:hAnsi="Arial"/>
                <w:sz w:val="14"/>
                <w:szCs w:val="14"/>
                <w:b w:val="1"/>
                <w:bCs w:val="1"/>
                <w:color w:val="auto"/>
              </w:rPr>
              <w:t>Corporate Governance, Nominating</w:t>
            </w:r>
          </w:p>
        </w:tc>
        <w:tc>
          <w:tcPr>
            <w:tcW w:w="0" w:type="dxa"/>
            <w:vAlign w:val="bottom"/>
          </w:tcPr>
          <w:p>
            <w:pPr>
              <w:spacing w:after="0"/>
              <w:rPr>
                <w:sz w:val="1"/>
                <w:szCs w:val="1"/>
                <w:color w:val="auto"/>
              </w:rPr>
            </w:pPr>
          </w:p>
        </w:tc>
      </w:tr>
      <w:tr>
        <w:trPr>
          <w:trHeight w:val="115"/>
        </w:trPr>
        <w:tc>
          <w:tcPr>
            <w:tcW w:w="3120" w:type="dxa"/>
            <w:vAlign w:val="bottom"/>
            <w:vMerge w:val="continue"/>
          </w:tcPr>
          <w:p>
            <w:pPr>
              <w:spacing w:after="0"/>
              <w:rPr>
                <w:sz w:val="10"/>
                <w:szCs w:val="10"/>
                <w:color w:val="auto"/>
              </w:rPr>
            </w:pPr>
          </w:p>
        </w:tc>
        <w:tc>
          <w:tcPr>
            <w:tcW w:w="34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and Sustainability</w:t>
            </w:r>
          </w:p>
        </w:tc>
        <w:tc>
          <w:tcPr>
            <w:tcW w:w="0" w:type="dxa"/>
            <w:vAlign w:val="bottom"/>
          </w:tcPr>
          <w:p>
            <w:pPr>
              <w:spacing w:after="0"/>
              <w:rPr>
                <w:sz w:val="1"/>
                <w:szCs w:val="1"/>
                <w:color w:val="auto"/>
              </w:rPr>
            </w:pPr>
          </w:p>
        </w:tc>
      </w:tr>
      <w:tr>
        <w:trPr>
          <w:trHeight w:val="81"/>
        </w:trPr>
        <w:tc>
          <w:tcPr>
            <w:tcW w:w="312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120" w:type="dxa"/>
            <w:vAlign w:val="bottom"/>
          </w:tcPr>
          <w:p>
            <w:pPr>
              <w:spacing w:after="0"/>
              <w:rPr>
                <w:sz w:val="24"/>
                <w:szCs w:val="24"/>
                <w:color w:val="auto"/>
              </w:rPr>
            </w:pPr>
          </w:p>
        </w:tc>
        <w:tc>
          <w:tcPr>
            <w:tcW w:w="3400" w:type="dxa"/>
            <w:vAlign w:val="bottom"/>
          </w:tcPr>
          <w:p>
            <w:pPr>
              <w:ind w:left="260"/>
              <w:spacing w:after="0"/>
              <w:rPr>
                <w:sz w:val="20"/>
                <w:szCs w:val="20"/>
                <w:color w:val="auto"/>
              </w:rPr>
            </w:pPr>
            <w:r>
              <w:rPr>
                <w:rFonts w:ascii="Arial" w:cs="Arial" w:eastAsia="Arial" w:hAnsi="Arial"/>
                <w:sz w:val="14"/>
                <w:szCs w:val="14"/>
                <w:color w:val="auto"/>
              </w:rPr>
              <w:t xml:space="preserve">Other Current Public Company Boards: </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31C5B"/>
        </w:rPr>
        <w:t>Skills and Qualifications</w:t>
      </w:r>
    </w:p>
    <w:p>
      <w:pPr>
        <w:spacing w:after="0" w:line="48" w:lineRule="exact"/>
        <w:rPr>
          <w:sz w:val="20"/>
          <w:szCs w:val="20"/>
          <w:color w:val="auto"/>
        </w:rPr>
      </w:pPr>
    </w:p>
    <w:tbl>
      <w:tblPr>
        <w:tblLayout w:type="fixed"/>
        <w:tblInd w:w="300" w:type="dxa"/>
        <w:tblCellMar>
          <w:top w:w="0" w:type="dxa"/>
          <w:left w:w="0" w:type="dxa"/>
          <w:bottom w:w="0" w:type="dxa"/>
          <w:right w:w="0" w:type="dxa"/>
        </w:tblCellMar>
      </w:tblPr>
      <w:tr>
        <w:trPr>
          <w:trHeight w:val="34"/>
        </w:trPr>
        <w:tc>
          <w:tcPr>
            <w:tcW w:w="640" w:type="dxa"/>
            <w:vAlign w:val="bottom"/>
            <w:shd w:val="clear" w:color="auto" w:fill="ECE8EF"/>
          </w:tcPr>
          <w:p>
            <w:pPr>
              <w:spacing w:after="0"/>
              <w:rPr>
                <w:sz w:val="2"/>
                <w:szCs w:val="2"/>
                <w:color w:val="auto"/>
              </w:rPr>
            </w:pPr>
          </w:p>
        </w:tc>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3"/>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Executive Leadership</w:t>
            </w:r>
          </w:p>
        </w:tc>
        <w:tc>
          <w:tcPr>
            <w:tcW w:w="640" w:type="dxa"/>
            <w:vAlign w:val="bottom"/>
            <w:shd w:val="clear" w:color="auto" w:fill="ECE8EF"/>
          </w:tcPr>
          <w:p>
            <w:pPr>
              <w:spacing w:after="0"/>
              <w:rPr>
                <w:sz w:val="24"/>
                <w:szCs w:val="24"/>
                <w:color w:val="auto"/>
              </w:rPr>
            </w:pPr>
          </w:p>
        </w:tc>
        <w:tc>
          <w:tcPr>
            <w:tcW w:w="2900" w:type="dxa"/>
            <w:vAlign w:val="bottom"/>
            <w:gridSpan w:val="2"/>
            <w:shd w:val="clear" w:color="auto" w:fill="ECE8EF"/>
          </w:tcPr>
          <w:p>
            <w:pPr>
              <w:ind w:left="40"/>
              <w:spacing w:after="0"/>
              <w:rPr>
                <w:sz w:val="20"/>
                <w:szCs w:val="20"/>
                <w:color w:val="auto"/>
              </w:rPr>
            </w:pPr>
            <w:r>
              <w:rPr>
                <w:rFonts w:ascii="Arial" w:cs="Arial" w:eastAsia="Arial" w:hAnsi="Arial"/>
                <w:sz w:val="14"/>
                <w:szCs w:val="14"/>
                <w:color w:val="auto"/>
              </w:rPr>
              <w:t>Global Business Experience</w:t>
            </w: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Financial Expertise</w:t>
            </w:r>
          </w:p>
        </w:tc>
        <w:tc>
          <w:tcPr>
            <w:tcW w:w="0" w:type="dxa"/>
            <w:vAlign w:val="bottom"/>
          </w:tcPr>
          <w:p>
            <w:pPr>
              <w:spacing w:after="0"/>
              <w:rPr>
                <w:sz w:val="1"/>
                <w:szCs w:val="1"/>
                <w:color w:val="auto"/>
              </w:rPr>
            </w:pPr>
          </w:p>
        </w:tc>
      </w:tr>
      <w:tr>
        <w:trPr>
          <w:trHeight w:val="444"/>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Public Company</w:t>
            </w:r>
          </w:p>
        </w:tc>
        <w:tc>
          <w:tcPr>
            <w:tcW w:w="640" w:type="dxa"/>
            <w:vAlign w:val="bottom"/>
            <w:shd w:val="clear" w:color="auto" w:fill="ECE8EF"/>
          </w:tcPr>
          <w:p>
            <w:pPr>
              <w:spacing w:after="0"/>
              <w:rPr>
                <w:sz w:val="24"/>
                <w:szCs w:val="24"/>
                <w:color w:val="auto"/>
              </w:rPr>
            </w:pPr>
          </w:p>
        </w:tc>
        <w:tc>
          <w:tcPr>
            <w:tcW w:w="226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Human Capital Management</w:t>
            </w:r>
          </w:p>
        </w:tc>
        <w:tc>
          <w:tcPr>
            <w:tcW w:w="640" w:type="dxa"/>
            <w:vAlign w:val="bottom"/>
            <w:shd w:val="clear" w:color="auto" w:fill="ECE8EF"/>
          </w:tcPr>
          <w:p>
            <w:pPr>
              <w:spacing w:after="0"/>
              <w:rPr>
                <w:sz w:val="24"/>
                <w:szCs w:val="24"/>
                <w:color w:val="auto"/>
              </w:rPr>
            </w:pPr>
          </w:p>
        </w:tc>
        <w:tc>
          <w:tcPr>
            <w:tcW w:w="2180" w:type="dxa"/>
            <w:vAlign w:val="bottom"/>
            <w:gridSpan w:val="2"/>
            <w:shd w:val="clear" w:color="auto" w:fill="ECE8EF"/>
          </w:tcPr>
          <w:p>
            <w:pPr>
              <w:ind w:left="60"/>
              <w:spacing w:after="0"/>
              <w:rPr>
                <w:sz w:val="20"/>
                <w:szCs w:val="20"/>
                <w:color w:val="auto"/>
              </w:rPr>
            </w:pPr>
            <w:r>
              <w:rPr>
                <w:rFonts w:ascii="Arial" w:cs="Arial" w:eastAsia="Arial" w:hAnsi="Arial"/>
                <w:sz w:val="14"/>
                <w:szCs w:val="14"/>
                <w:color w:val="auto"/>
              </w:rPr>
              <w:t>Enterprise Risk Management/</w:t>
            </w:r>
          </w:p>
        </w:tc>
        <w:tc>
          <w:tcPr>
            <w:tcW w:w="0" w:type="dxa"/>
            <w:vAlign w:val="bottom"/>
          </w:tcPr>
          <w:p>
            <w:pPr>
              <w:spacing w:after="0"/>
              <w:rPr>
                <w:sz w:val="1"/>
                <w:szCs w:val="1"/>
                <w:color w:val="auto"/>
              </w:rPr>
            </w:pPr>
          </w:p>
        </w:tc>
      </w:tr>
      <w:tr>
        <w:trPr>
          <w:trHeight w:val="96"/>
        </w:trPr>
        <w:tc>
          <w:tcPr>
            <w:tcW w:w="64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Board Experience</w:t>
            </w:r>
          </w:p>
        </w:tc>
        <w:tc>
          <w:tcPr>
            <w:tcW w:w="640" w:type="dxa"/>
            <w:vAlign w:val="bottom"/>
            <w:shd w:val="clear" w:color="auto" w:fill="ECE8EF"/>
          </w:tcPr>
          <w:p>
            <w:pPr>
              <w:spacing w:after="0"/>
              <w:rPr>
                <w:sz w:val="8"/>
                <w:szCs w:val="8"/>
                <w:color w:val="auto"/>
              </w:rPr>
            </w:pPr>
          </w:p>
        </w:tc>
        <w:tc>
          <w:tcPr>
            <w:tcW w:w="226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restart"/>
            <w:shd w:val="clear" w:color="auto" w:fill="ECE8EF"/>
          </w:tcPr>
          <w:p>
            <w:pPr>
              <w:ind w:left="60"/>
              <w:spacing w:after="0"/>
              <w:rPr>
                <w:sz w:val="20"/>
                <w:szCs w:val="20"/>
                <w:color w:val="auto"/>
              </w:rPr>
            </w:pPr>
            <w:r>
              <w:rPr>
                <w:rFonts w:ascii="Arial" w:cs="Arial" w:eastAsia="Arial" w:hAnsi="Arial"/>
                <w:sz w:val="14"/>
                <w:szCs w:val="14"/>
                <w:color w:val="auto"/>
              </w:rPr>
              <w:t>Information Security</w:t>
            </w:r>
          </w:p>
        </w:tc>
        <w:tc>
          <w:tcPr>
            <w:tcW w:w="0" w:type="dxa"/>
            <w:vAlign w:val="bottom"/>
          </w:tcPr>
          <w:p>
            <w:pPr>
              <w:spacing w:after="0"/>
              <w:rPr>
                <w:sz w:val="1"/>
                <w:szCs w:val="1"/>
                <w:color w:val="auto"/>
              </w:rPr>
            </w:pPr>
          </w:p>
        </w:tc>
      </w:tr>
      <w:tr>
        <w:trPr>
          <w:trHeight w:val="94"/>
        </w:trPr>
        <w:tc>
          <w:tcPr>
            <w:tcW w:w="64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180" w:type="dxa"/>
            <w:vAlign w:val="bottom"/>
            <w:gridSpan w:val="2"/>
            <w:vMerge w:val="continue"/>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Mergers and Acquisitions/</w:t>
            </w:r>
          </w:p>
        </w:tc>
        <w:tc>
          <w:tcPr>
            <w:tcW w:w="640" w:type="dxa"/>
            <w:vAlign w:val="bottom"/>
            <w:shd w:val="clear" w:color="auto" w:fill="ECE8EF"/>
          </w:tcPr>
          <w:p>
            <w:pPr>
              <w:spacing w:after="0"/>
              <w:rPr>
                <w:sz w:val="24"/>
                <w:szCs w:val="24"/>
                <w:color w:val="auto"/>
              </w:rPr>
            </w:pPr>
          </w:p>
        </w:tc>
        <w:tc>
          <w:tcPr>
            <w:tcW w:w="226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Sustainability</w:t>
            </w:r>
          </w:p>
        </w:tc>
        <w:tc>
          <w:tcPr>
            <w:tcW w:w="640" w:type="dxa"/>
            <w:vAlign w:val="bottom"/>
            <w:shd w:val="clear" w:color="auto" w:fill="ECE8EF"/>
          </w:tcPr>
          <w:p>
            <w:pPr>
              <w:spacing w:after="0"/>
              <w:rPr>
                <w:sz w:val="24"/>
                <w:szCs w:val="24"/>
                <w:color w:val="auto"/>
              </w:rPr>
            </w:pPr>
          </w:p>
        </w:tc>
        <w:tc>
          <w:tcPr>
            <w:tcW w:w="2000" w:type="dxa"/>
            <w:vAlign w:val="bottom"/>
            <w:vMerge w:val="restart"/>
            <w:shd w:val="clear" w:color="auto" w:fill="ECE8EF"/>
          </w:tcPr>
          <w:p>
            <w:pPr>
              <w:ind w:left="60"/>
              <w:spacing w:after="0"/>
              <w:rPr>
                <w:sz w:val="20"/>
                <w:szCs w:val="20"/>
                <w:color w:val="auto"/>
              </w:rPr>
            </w:pPr>
            <w:r>
              <w:rPr>
                <w:rFonts w:ascii="Arial" w:cs="Arial" w:eastAsia="Arial" w:hAnsi="Arial"/>
                <w:sz w:val="14"/>
                <w:szCs w:val="14"/>
                <w:color w:val="auto"/>
              </w:rPr>
              <w:t>Technology</w:t>
            </w: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640" w:type="dxa"/>
            <w:vAlign w:val="bottom"/>
            <w:shd w:val="clear" w:color="auto" w:fill="ECE8EF"/>
          </w:tcPr>
          <w:p>
            <w:pPr>
              <w:spacing w:after="0"/>
              <w:rPr>
                <w:sz w:val="8"/>
                <w:szCs w:val="8"/>
                <w:color w:val="auto"/>
              </w:rPr>
            </w:pPr>
          </w:p>
        </w:tc>
        <w:tc>
          <w:tcPr>
            <w:tcW w:w="2220" w:type="dxa"/>
            <w:vAlign w:val="bottom"/>
            <w:vMerge w:val="restart"/>
            <w:shd w:val="clear" w:color="auto" w:fill="ECE8EF"/>
          </w:tcPr>
          <w:p>
            <w:pPr>
              <w:ind w:left="40"/>
              <w:spacing w:after="0"/>
              <w:rPr>
                <w:sz w:val="20"/>
                <w:szCs w:val="20"/>
                <w:color w:val="auto"/>
              </w:rPr>
            </w:pPr>
            <w:r>
              <w:rPr>
                <w:rFonts w:ascii="Arial" w:cs="Arial" w:eastAsia="Arial" w:hAnsi="Arial"/>
                <w:sz w:val="14"/>
                <w:szCs w:val="14"/>
                <w:color w:val="auto"/>
              </w:rPr>
              <w:t>Capital Allocation</w:t>
            </w:r>
          </w:p>
        </w:tc>
        <w:tc>
          <w:tcPr>
            <w:tcW w:w="640" w:type="dxa"/>
            <w:vAlign w:val="bottom"/>
            <w:shd w:val="clear" w:color="auto" w:fill="ECE8EF"/>
          </w:tcPr>
          <w:p>
            <w:pPr>
              <w:spacing w:after="0"/>
              <w:rPr>
                <w:sz w:val="8"/>
                <w:szCs w:val="8"/>
                <w:color w:val="auto"/>
              </w:rPr>
            </w:pPr>
          </w:p>
        </w:tc>
        <w:tc>
          <w:tcPr>
            <w:tcW w:w="226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vMerge w:val="continue"/>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40" w:type="dxa"/>
            <w:vAlign w:val="bottom"/>
            <w:shd w:val="clear" w:color="auto" w:fill="ECE8EF"/>
          </w:tcPr>
          <w:p>
            <w:pPr>
              <w:spacing w:after="0"/>
              <w:rPr>
                <w:sz w:val="8"/>
                <w:szCs w:val="8"/>
                <w:color w:val="auto"/>
              </w:rPr>
            </w:pPr>
          </w:p>
        </w:tc>
        <w:tc>
          <w:tcPr>
            <w:tcW w:w="2220" w:type="dxa"/>
            <w:vAlign w:val="bottom"/>
            <w:vMerge w:val="continue"/>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260" w:type="dxa"/>
            <w:vAlign w:val="bottom"/>
            <w:shd w:val="clear" w:color="auto" w:fill="ECE8EF"/>
          </w:tcPr>
          <w:p>
            <w:pPr>
              <w:spacing w:after="0"/>
              <w:rPr>
                <w:sz w:val="8"/>
                <w:szCs w:val="8"/>
                <w:color w:val="auto"/>
              </w:rPr>
            </w:pPr>
          </w:p>
        </w:tc>
        <w:tc>
          <w:tcPr>
            <w:tcW w:w="640" w:type="dxa"/>
            <w:vAlign w:val="bottom"/>
            <w:shd w:val="clear" w:color="auto" w:fill="ECE8EF"/>
          </w:tcPr>
          <w:p>
            <w:pPr>
              <w:spacing w:after="0"/>
              <w:rPr>
                <w:sz w:val="8"/>
                <w:szCs w:val="8"/>
                <w:color w:val="auto"/>
              </w:rPr>
            </w:pPr>
          </w:p>
        </w:tc>
        <w:tc>
          <w:tcPr>
            <w:tcW w:w="2000" w:type="dxa"/>
            <w:vAlign w:val="bottom"/>
            <w:shd w:val="clear" w:color="auto" w:fill="ECE8EF"/>
          </w:tcPr>
          <w:p>
            <w:pPr>
              <w:spacing w:after="0"/>
              <w:rPr>
                <w:sz w:val="8"/>
                <w:szCs w:val="8"/>
                <w:color w:val="auto"/>
              </w:rPr>
            </w:pPr>
          </w:p>
        </w:tc>
        <w:tc>
          <w:tcPr>
            <w:tcW w:w="180" w:type="dxa"/>
            <w:vAlign w:val="bottom"/>
            <w:shd w:val="clear" w:color="auto" w:fill="ECE8EF"/>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ind w:left="40"/>
              <w:spacing w:after="0"/>
              <w:rPr>
                <w:sz w:val="20"/>
                <w:szCs w:val="20"/>
                <w:color w:val="auto"/>
              </w:rPr>
            </w:pPr>
            <w:r>
              <w:rPr>
                <w:rFonts w:ascii="Arial" w:cs="Arial" w:eastAsia="Arial" w:hAnsi="Arial"/>
                <w:sz w:val="14"/>
                <w:szCs w:val="14"/>
                <w:color w:val="auto"/>
              </w:rPr>
              <w:t>Financial Technology</w:t>
            </w:r>
          </w:p>
        </w:tc>
        <w:tc>
          <w:tcPr>
            <w:tcW w:w="640" w:type="dxa"/>
            <w:vAlign w:val="bottom"/>
            <w:shd w:val="clear" w:color="auto" w:fill="ECE8EF"/>
          </w:tcPr>
          <w:p>
            <w:pPr>
              <w:spacing w:after="0"/>
              <w:rPr>
                <w:sz w:val="24"/>
                <w:szCs w:val="24"/>
                <w:color w:val="auto"/>
              </w:rPr>
            </w:pPr>
          </w:p>
        </w:tc>
        <w:tc>
          <w:tcPr>
            <w:tcW w:w="2260" w:type="dxa"/>
            <w:vAlign w:val="bottom"/>
            <w:shd w:val="clear" w:color="auto" w:fill="ECE8EF"/>
          </w:tcPr>
          <w:p>
            <w:pPr>
              <w:ind w:left="40"/>
              <w:spacing w:after="0"/>
              <w:rPr>
                <w:sz w:val="20"/>
                <w:szCs w:val="20"/>
                <w:color w:val="auto"/>
              </w:rPr>
            </w:pPr>
            <w:r>
              <w:rPr>
                <w:rFonts w:ascii="Arial" w:cs="Arial" w:eastAsia="Arial" w:hAnsi="Arial"/>
                <w:sz w:val="14"/>
                <w:szCs w:val="14"/>
                <w:color w:val="auto"/>
              </w:rPr>
              <w:t>Banking/Financial Services</w:t>
            </w: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40" w:type="dxa"/>
            <w:vAlign w:val="bottom"/>
            <w:shd w:val="clear" w:color="auto" w:fill="ECE8EF"/>
          </w:tcPr>
          <w:p>
            <w:pPr>
              <w:spacing w:after="0"/>
              <w:rPr>
                <w:sz w:val="24"/>
                <w:szCs w:val="24"/>
                <w:color w:val="auto"/>
              </w:rPr>
            </w:pPr>
          </w:p>
        </w:tc>
        <w:tc>
          <w:tcPr>
            <w:tcW w:w="222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260" w:type="dxa"/>
            <w:vAlign w:val="bottom"/>
            <w:shd w:val="clear" w:color="auto" w:fill="ECE8EF"/>
          </w:tcPr>
          <w:p>
            <w:pPr>
              <w:spacing w:after="0"/>
              <w:rPr>
                <w:sz w:val="24"/>
                <w:szCs w:val="24"/>
                <w:color w:val="auto"/>
              </w:rPr>
            </w:pPr>
          </w:p>
        </w:tc>
        <w:tc>
          <w:tcPr>
            <w:tcW w:w="640" w:type="dxa"/>
            <w:vAlign w:val="bottom"/>
            <w:shd w:val="clear" w:color="auto" w:fill="ECE8EF"/>
          </w:tcPr>
          <w:p>
            <w:pPr>
              <w:spacing w:after="0"/>
              <w:rPr>
                <w:sz w:val="24"/>
                <w:szCs w:val="24"/>
                <w:color w:val="auto"/>
              </w:rPr>
            </w:pPr>
          </w:p>
        </w:tc>
        <w:tc>
          <w:tcPr>
            <w:tcW w:w="2000" w:type="dxa"/>
            <w:vAlign w:val="bottom"/>
            <w:shd w:val="clear" w:color="auto" w:fill="ECE8EF"/>
          </w:tcPr>
          <w:p>
            <w:pPr>
              <w:spacing w:after="0"/>
              <w:rPr>
                <w:sz w:val="24"/>
                <w:szCs w:val="24"/>
                <w:color w:val="auto"/>
              </w:rPr>
            </w:pPr>
          </w:p>
        </w:tc>
        <w:tc>
          <w:tcPr>
            <w:tcW w:w="180" w:type="dxa"/>
            <w:vAlign w:val="bottom"/>
            <w:shd w:val="clear" w:color="auto" w:fill="ECE8EF"/>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431C5B"/>
        </w:rPr>
        <w:t>Experience</w:t>
      </w:r>
    </w:p>
    <w:p>
      <w:pPr>
        <w:spacing w:after="0" w:line="127" w:lineRule="exact"/>
        <w:rPr>
          <w:sz w:val="20"/>
          <w:szCs w:val="20"/>
          <w:color w:val="auto"/>
        </w:rPr>
      </w:pPr>
    </w:p>
    <w:p>
      <w:pPr>
        <w:ind w:left="520" w:hanging="196"/>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Chief Executive Officer, </w:t>
      </w:r>
      <w:r>
        <w:rPr>
          <w:rFonts w:ascii="Arial" w:cs="Arial" w:eastAsia="Arial" w:hAnsi="Arial"/>
          <w:sz w:val="14"/>
          <w:szCs w:val="14"/>
          <w:b w:val="1"/>
          <w:bCs w:val="1"/>
          <w:color w:val="auto"/>
        </w:rPr>
        <w:t>PS27 Ventures, LLC</w:t>
      </w:r>
      <w:r>
        <w:rPr>
          <w:rFonts w:ascii="Arial" w:cs="Arial" w:eastAsia="Arial" w:hAnsi="Arial"/>
          <w:sz w:val="14"/>
          <w:szCs w:val="14"/>
          <w:color w:val="auto"/>
        </w:rPr>
        <w:t xml:space="preserve"> (2013 – present)</w:t>
      </w:r>
    </w:p>
    <w:p>
      <w:pPr>
        <w:spacing w:after="0" w:line="82" w:lineRule="exact"/>
        <w:rPr>
          <w:rFonts w:ascii="Arial" w:cs="Arial" w:eastAsia="Arial" w:hAnsi="Arial"/>
          <w:sz w:val="14"/>
          <w:szCs w:val="14"/>
          <w:color w:val="auto"/>
        </w:rPr>
      </w:pPr>
    </w:p>
    <w:p>
      <w:pPr>
        <w:ind w:left="520" w:right="379" w:hanging="196"/>
        <w:spacing w:after="0" w:line="322"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Served in a variety of roles, including General Manager of Global Markets, Systems and Technology (2009 – 2013) and General Manager, Enterprise Systems, Systems and Technology Group (2002 – 2009 and 1984 – 1996), </w:t>
      </w:r>
      <w:r>
        <w:rPr>
          <w:rFonts w:ascii="Arial" w:cs="Arial" w:eastAsia="Arial" w:hAnsi="Arial"/>
          <w:sz w:val="14"/>
          <w:szCs w:val="14"/>
          <w:b w:val="1"/>
          <w:bCs w:val="1"/>
          <w:color w:val="auto"/>
        </w:rPr>
        <w:t>IBM Corporation</w:t>
      </w:r>
    </w:p>
    <w:p>
      <w:pPr>
        <w:ind w:left="520" w:hanging="196"/>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Founder and Chief Executive Officer, </w:t>
      </w:r>
      <w:r>
        <w:rPr>
          <w:rFonts w:ascii="Arial" w:cs="Arial" w:eastAsia="Arial" w:hAnsi="Arial"/>
          <w:sz w:val="14"/>
          <w:szCs w:val="14"/>
          <w:b w:val="1"/>
          <w:bCs w:val="1"/>
          <w:color w:val="auto"/>
        </w:rPr>
        <w:t>E House</w:t>
      </w:r>
      <w:r>
        <w:rPr>
          <w:rFonts w:ascii="Arial" w:cs="Arial" w:eastAsia="Arial" w:hAnsi="Arial"/>
          <w:sz w:val="14"/>
          <w:szCs w:val="14"/>
          <w:color w:val="auto"/>
        </w:rPr>
        <w:t xml:space="preserve"> (2000 – 2002)</w:t>
      </w:r>
    </w:p>
    <w:p>
      <w:pPr>
        <w:spacing w:after="0" w:line="82" w:lineRule="exact"/>
        <w:rPr>
          <w:rFonts w:ascii="Arial" w:cs="Arial" w:eastAsia="Arial" w:hAnsi="Arial"/>
          <w:sz w:val="14"/>
          <w:szCs w:val="14"/>
          <w:color w:val="auto"/>
        </w:rPr>
      </w:pPr>
    </w:p>
    <w:p>
      <w:pPr>
        <w:ind w:left="520" w:hanging="196"/>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Served as a Captain in the U.S. Marine Corps</w:t>
      </w:r>
    </w:p>
    <w:p>
      <w:pPr>
        <w:spacing w:after="0" w:line="396" w:lineRule="exact"/>
        <w:rPr>
          <w:sz w:val="20"/>
          <w:szCs w:val="20"/>
          <w:color w:val="auto"/>
        </w:rPr>
      </w:pPr>
    </w:p>
    <w:p>
      <w:pPr>
        <w:ind w:left="320"/>
        <w:spacing w:after="0"/>
        <w:tabs>
          <w:tab w:leader="none" w:pos="4720" w:val="left"/>
        </w:tabs>
        <w:rPr>
          <w:sz w:val="20"/>
          <w:szCs w:val="20"/>
          <w:color w:val="auto"/>
        </w:rPr>
      </w:pPr>
      <w:r>
        <w:rPr>
          <w:rFonts w:ascii="Arial" w:cs="Arial" w:eastAsia="Arial" w:hAnsi="Arial"/>
          <w:sz w:val="18"/>
          <w:szCs w:val="18"/>
          <w:b w:val="1"/>
          <w:bCs w:val="1"/>
          <w:color w:val="431C5B"/>
        </w:rPr>
        <w:t>Other Public Company Boards (Current)</w:t>
      </w:r>
      <w:r>
        <w:rPr>
          <w:sz w:val="20"/>
          <w:szCs w:val="20"/>
          <w:color w:val="auto"/>
        </w:rPr>
        <w:tab/>
      </w:r>
      <w:r>
        <w:rPr>
          <w:rFonts w:ascii="Arial" w:cs="Arial" w:eastAsia="Arial" w:hAnsi="Arial"/>
          <w:sz w:val="18"/>
          <w:szCs w:val="18"/>
          <w:b w:val="1"/>
          <w:bCs w:val="1"/>
          <w:color w:val="431C5B"/>
        </w:rPr>
        <w:t>Education</w:t>
      </w:r>
    </w:p>
    <w:p>
      <w:pPr>
        <w:spacing w:after="0" w:line="127" w:lineRule="exact"/>
        <w:rPr>
          <w:sz w:val="20"/>
          <w:szCs w:val="20"/>
          <w:color w:val="auto"/>
        </w:rPr>
      </w:pPr>
    </w:p>
    <w:p>
      <w:pPr>
        <w:ind w:left="320"/>
        <w:spacing w:after="0"/>
        <w:tabs>
          <w:tab w:leader="none" w:pos="500" w:val="left"/>
          <w:tab w:leader="none" w:pos="4720" w:val="left"/>
          <w:tab w:leader="none" w:pos="4920" w:val="left"/>
        </w:tabs>
        <w:rPr>
          <w:sz w:val="20"/>
          <w:szCs w:val="20"/>
          <w:color w:val="auto"/>
        </w:rPr>
      </w:pPr>
      <w:r>
        <w:rPr>
          <w:rFonts w:ascii="Arial" w:cs="Arial" w:eastAsia="Arial" w:hAnsi="Arial"/>
          <w:sz w:val="14"/>
          <w:szCs w:val="14"/>
          <w:color w:val="auto"/>
        </w:rPr>
        <w:t>•</w:t>
        <w:tab/>
        <w:t>Cannae Holdings, Inc. (2018 – present)</w:t>
      </w:r>
      <w:r>
        <w:rPr>
          <w:sz w:val="20"/>
          <w:szCs w:val="20"/>
          <w:color w:val="auto"/>
        </w:rPr>
        <w:tab/>
      </w:r>
      <w:r>
        <w:rPr>
          <w:rFonts w:ascii="Arial" w:cs="Arial" w:eastAsia="Arial" w:hAnsi="Arial"/>
          <w:sz w:val="14"/>
          <w:szCs w:val="14"/>
          <w:color w:val="auto"/>
        </w:rPr>
        <w:t>•</w:t>
        <w:tab/>
        <w:t>BS, U.S. Naval Academy</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431C5B"/>
        </w:rPr>
        <w:t>Other Public Company Boards (Former)</w:t>
      </w:r>
    </w:p>
    <w:p>
      <w:pPr>
        <w:spacing w:after="0" w:line="127" w:lineRule="exact"/>
        <w:rPr>
          <w:sz w:val="20"/>
          <w:szCs w:val="20"/>
          <w:color w:val="auto"/>
        </w:rPr>
      </w:pPr>
    </w:p>
    <w:p>
      <w:pPr>
        <w:ind w:left="320"/>
        <w:spacing w:after="0"/>
        <w:tabs>
          <w:tab w:leader="none" w:pos="500" w:val="left"/>
        </w:tabs>
        <w:rPr>
          <w:sz w:val="20"/>
          <w:szCs w:val="20"/>
          <w:color w:val="auto"/>
        </w:rPr>
      </w:pPr>
      <w:r>
        <w:rPr>
          <w:rFonts w:ascii="Arial" w:cs="Arial" w:eastAsia="Arial" w:hAnsi="Arial"/>
          <w:sz w:val="14"/>
          <w:szCs w:val="14"/>
          <w:color w:val="auto"/>
        </w:rPr>
        <w:t>•</w:t>
        <w:tab/>
        <w:t>UGI Corporation (2015 – 2023)</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27</w:t>
      </w:r>
    </w:p>
    <w:p>
      <w:pPr>
        <w:sectPr>
          <w:pgSz w:w="11900" w:h="16838" w:orient="portrait"/>
          <w:cols w:equalWidth="0" w:num="1">
            <w:col w:w="9019"/>
          </w:cols>
          <w:pgMar w:left="1440" w:top="657" w:right="1440" w:bottom="1440" w:gutter="0" w:footer="0" w:header="0"/>
          <w:type w:val="continuous"/>
        </w:sectPr>
      </w:pPr>
    </w:p>
    <w:bookmarkStart w:id="30" w:name="page31"/>
    <w:bookmarkEnd w:id="30"/>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Board Oversight</w:t>
      </w:r>
    </w:p>
    <w:p>
      <w:pPr>
        <w:spacing w:after="0" w:line="107"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Our Board is responsible for overseeing the business and affairs of our Company. In carrying out this responsibility, the Board oversees the long-term strategy of our Company and advises our senior management to help drive long-term value creation for our shareholders. Our Board is highly engaged and receives regular updates on a wide variety of matters affecting our Company, including, without limitation, CEO and management development and succession planning, enterprise risk management, cybersecurity and crisis management, strategic planning, the Company’s sustainability program, and the annual review of our CEO’s performance.</w:t>
      </w:r>
    </w:p>
    <w:p>
      <w:pPr>
        <w:spacing w:after="0" w:line="120" w:lineRule="exact"/>
        <w:rPr>
          <w:sz w:val="20"/>
          <w:szCs w:val="20"/>
          <w:color w:val="auto"/>
        </w:rPr>
      </w:pPr>
    </w:p>
    <w:p>
      <w:pPr>
        <w:ind w:left="140" w:right="179"/>
        <w:spacing w:after="0" w:line="321" w:lineRule="auto"/>
        <w:rPr>
          <w:sz w:val="20"/>
          <w:szCs w:val="20"/>
          <w:color w:val="auto"/>
        </w:rPr>
      </w:pPr>
      <w:r>
        <w:rPr>
          <w:rFonts w:ascii="Arial" w:cs="Arial" w:eastAsia="Arial" w:hAnsi="Arial"/>
          <w:sz w:val="16"/>
          <w:szCs w:val="16"/>
          <w:color w:val="auto"/>
        </w:rPr>
        <w:t>Our Board met ten (10) times in 2025. Each of our directors attended at least 89% of the meetings of the Board and of the Committees of which he or she was a member.</w:t>
      </w:r>
    </w:p>
    <w:p>
      <w:pPr>
        <w:spacing w:after="0" w:line="102" w:lineRule="exact"/>
        <w:rPr>
          <w:sz w:val="20"/>
          <w:szCs w:val="20"/>
          <w:color w:val="auto"/>
        </w:rPr>
      </w:pPr>
    </w:p>
    <w:p>
      <w:pPr>
        <w:ind w:left="140" w:right="239"/>
        <w:spacing w:after="0" w:line="292" w:lineRule="auto"/>
        <w:rPr>
          <w:sz w:val="20"/>
          <w:szCs w:val="20"/>
          <w:color w:val="auto"/>
        </w:rPr>
      </w:pPr>
      <w:r>
        <w:rPr>
          <w:rFonts w:ascii="Arial" w:cs="Arial" w:eastAsia="Arial" w:hAnsi="Arial"/>
          <w:sz w:val="16"/>
          <w:szCs w:val="16"/>
          <w:color w:val="auto"/>
        </w:rPr>
        <w:t>We do not, as a general matter, require our Board members to attend our annual meeting of shareholders, although each of our directors is invited to attend our 2026 annual meeting. Eight of the nine directors standing for election at the 2025 annual meeting of shareholders attended that meeting.</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Management Development and Succession Planning</w:t>
      </w:r>
    </w:p>
    <w:p>
      <w:pPr>
        <w:spacing w:after="0" w:line="101" w:lineRule="exact"/>
        <w:rPr>
          <w:sz w:val="20"/>
          <w:szCs w:val="20"/>
          <w:color w:val="auto"/>
        </w:rPr>
      </w:pPr>
    </w:p>
    <w:p>
      <w:pPr>
        <w:ind w:left="140" w:right="239"/>
        <w:spacing w:after="0" w:line="292" w:lineRule="auto"/>
        <w:rPr>
          <w:sz w:val="20"/>
          <w:szCs w:val="20"/>
          <w:color w:val="auto"/>
        </w:rPr>
      </w:pPr>
      <w:r>
        <w:rPr>
          <w:rFonts w:ascii="Arial" w:cs="Arial" w:eastAsia="Arial" w:hAnsi="Arial"/>
          <w:sz w:val="16"/>
          <w:szCs w:val="16"/>
          <w:color w:val="auto"/>
        </w:rPr>
        <w:t>Our Board oversees the succession plan for our CEO and President, CFO and certain other executive officers, both in an emergency situation and in the ordinary course of business. In addition, the Board receives periodic updates on the succession plans for our senior management.</w:t>
      </w:r>
    </w:p>
    <w:p>
      <w:pPr>
        <w:spacing w:after="0" w:line="125" w:lineRule="exact"/>
        <w:rPr>
          <w:sz w:val="20"/>
          <w:szCs w:val="20"/>
          <w:color w:val="auto"/>
        </w:rPr>
      </w:pPr>
    </w:p>
    <w:p>
      <w:pPr>
        <w:ind w:left="140" w:right="339"/>
        <w:spacing w:after="0" w:line="292" w:lineRule="auto"/>
        <w:rPr>
          <w:sz w:val="20"/>
          <w:szCs w:val="20"/>
          <w:color w:val="auto"/>
        </w:rPr>
      </w:pPr>
      <w:r>
        <w:rPr>
          <w:rFonts w:ascii="Arial" w:cs="Arial" w:eastAsia="Arial" w:hAnsi="Arial"/>
          <w:sz w:val="16"/>
          <w:szCs w:val="16"/>
          <w:color w:val="auto"/>
        </w:rPr>
        <w:t>Our Board has been actively engaged in assessment, interview and selection of candidates for key executive roles in recent years, including leaders of functional departments and major business units. Key leaders regularly present to the Board as part of their development, reporting on deliverables in driving our strategic agenda.</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Risk Oversight</w:t>
      </w:r>
    </w:p>
    <w:p>
      <w:pPr>
        <w:spacing w:after="0" w:line="101" w:lineRule="exact"/>
        <w:rPr>
          <w:sz w:val="20"/>
          <w:szCs w:val="20"/>
          <w:color w:val="auto"/>
        </w:rPr>
      </w:pPr>
    </w:p>
    <w:p>
      <w:pPr>
        <w:ind w:left="140" w:right="159"/>
        <w:spacing w:after="0" w:line="275" w:lineRule="auto"/>
        <w:rPr>
          <w:sz w:val="20"/>
          <w:szCs w:val="20"/>
          <w:color w:val="auto"/>
        </w:rPr>
      </w:pPr>
      <w:r>
        <w:rPr>
          <w:rFonts w:ascii="Arial" w:cs="Arial" w:eastAsia="Arial" w:hAnsi="Arial"/>
          <w:sz w:val="16"/>
          <w:szCs w:val="16"/>
          <w:color w:val="auto"/>
        </w:rPr>
        <w:t>The Board, acting directly and through its committees, is actively involved in oversight of risks inherent in the operation of the Company’s businesses and the implementation of its strategic plan. Management is responsible for the day-to-day assessment, identification, monitoring and decision-making regarding the risks we face. Our Board and its committees are primarily responsible for risk oversight in the areas described below, with the Risk and Technology Committee providing primary oversight for the Enterprise Risk Management function. Throughout the year, the Board and each committee review and discuss specific risk topics, and the Risk and Technology Committee receives quarterly Enterprise Risk reports from the Chief Risk Officer regarding the most significant risks facing the Company, including security, financial, legal, operational and strategic risk, and summarizes those reports to the Board. These reports include an in-depth analysis</w:t>
      </w:r>
    </w:p>
    <w:p>
      <w:pPr>
        <w:spacing w:after="0" w:line="1" w:lineRule="exact"/>
        <w:rPr>
          <w:sz w:val="20"/>
          <w:szCs w:val="20"/>
          <w:color w:val="auto"/>
        </w:rPr>
      </w:pPr>
    </w:p>
    <w:p>
      <w:pPr>
        <w:ind w:left="140" w:right="339"/>
        <w:spacing w:after="0" w:line="283" w:lineRule="auto"/>
        <w:rPr>
          <w:sz w:val="20"/>
          <w:szCs w:val="20"/>
          <w:color w:val="auto"/>
        </w:rPr>
      </w:pPr>
      <w:r>
        <w:rPr>
          <w:rFonts w:ascii="Arial" w:cs="Arial" w:eastAsia="Arial" w:hAnsi="Arial"/>
          <w:sz w:val="16"/>
          <w:szCs w:val="16"/>
          <w:color w:val="auto"/>
        </w:rPr>
        <w:t>of each risk category, including an assessment of the likelihood and magnitude of the risk, the risk trends and forward-looking commentary on potential emerging risks. In addition, each committee of the Board provides periodic reports to the full Board regarding its areas of responsibility and oversight. We believe that our Board’s active role in risk oversight supports our efforts to manage areas of material risk to the Company.</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hanging="429"/>
        <w:spacing w:after="0"/>
        <w:tabs>
          <w:tab w:leader="none" w:pos="620" w:val="left"/>
        </w:tabs>
        <w:numPr>
          <w:ilvl w:val="0"/>
          <w:numId w:val="43"/>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31" w:name="page32"/>
    <w:bookmarkEnd w:id="31"/>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15" w:lineRule="exact"/>
        <w:rPr>
          <w:sz w:val="20"/>
          <w:szCs w:val="20"/>
          <w:color w:val="auto"/>
        </w:rPr>
      </w:pPr>
    </w:p>
    <w:p>
      <w:pPr>
        <w:jc w:val="both"/>
        <w:ind w:left="140" w:right="239"/>
        <w:spacing w:after="0" w:line="292" w:lineRule="auto"/>
        <w:rPr>
          <w:sz w:val="20"/>
          <w:szCs w:val="20"/>
          <w:color w:val="auto"/>
        </w:rPr>
      </w:pPr>
      <w:r>
        <w:rPr>
          <w:rFonts w:ascii="Arial" w:cs="Arial" w:eastAsia="Arial" w:hAnsi="Arial"/>
          <w:sz w:val="16"/>
          <w:szCs w:val="16"/>
          <w:color w:val="auto"/>
        </w:rPr>
        <w:t>The Board closely monitors and is actively involved in the risk oversight associated with the financial markets. As one of the leading institutions serving the financial services community, management has a robust Enterprise Risk Management function designed to support our business plans despite the current volatile macroeconomic environment.</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2260" w:type="dxa"/>
            <w:vAlign w:val="bottom"/>
            <w:tcBorders>
              <w:bottom w:val="single" w:sz="8" w:color="431C5B"/>
            </w:tcBorders>
          </w:tcPr>
          <w:p>
            <w:pPr>
              <w:ind w:left="80"/>
              <w:spacing w:after="0"/>
              <w:rPr>
                <w:sz w:val="20"/>
                <w:szCs w:val="20"/>
                <w:color w:val="auto"/>
              </w:rPr>
            </w:pPr>
            <w:r>
              <w:rPr>
                <w:rFonts w:ascii="Arial" w:cs="Arial" w:eastAsia="Arial" w:hAnsi="Arial"/>
                <w:sz w:val="16"/>
                <w:szCs w:val="16"/>
                <w:b w:val="1"/>
                <w:bCs w:val="1"/>
                <w:color w:val="auto"/>
              </w:rPr>
              <w:t>Board/committee</w:t>
            </w:r>
          </w:p>
        </w:tc>
        <w:tc>
          <w:tcPr>
            <w:tcW w:w="6500" w:type="dxa"/>
            <w:vAlign w:val="bottom"/>
            <w:tcBorders>
              <w:bottom w:val="single" w:sz="8" w:color="431C5B"/>
            </w:tcBorders>
          </w:tcPr>
          <w:p>
            <w:pPr>
              <w:ind w:left="240"/>
              <w:spacing w:after="0"/>
              <w:rPr>
                <w:sz w:val="20"/>
                <w:szCs w:val="20"/>
                <w:color w:val="auto"/>
              </w:rPr>
            </w:pPr>
            <w:r>
              <w:rPr>
                <w:rFonts w:ascii="Arial" w:cs="Arial" w:eastAsia="Arial" w:hAnsi="Arial"/>
                <w:sz w:val="16"/>
                <w:szCs w:val="16"/>
                <w:b w:val="1"/>
                <w:bCs w:val="1"/>
                <w:color w:val="auto"/>
              </w:rPr>
              <w:t>Primary areas of risk oversight</w:t>
            </w:r>
          </w:p>
        </w:tc>
      </w:tr>
      <w:tr>
        <w:trPr>
          <w:trHeight w:val="307"/>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Board</w:t>
            </w:r>
          </w:p>
        </w:tc>
        <w:tc>
          <w:tcPr>
            <w:tcW w:w="6500" w:type="dxa"/>
            <w:vAlign w:val="bottom"/>
          </w:tcPr>
          <w:p>
            <w:pPr>
              <w:ind w:left="240"/>
              <w:spacing w:after="0"/>
              <w:rPr>
                <w:sz w:val="20"/>
                <w:szCs w:val="20"/>
                <w:color w:val="auto"/>
              </w:rPr>
            </w:pPr>
            <w:r>
              <w:rPr>
                <w:rFonts w:ascii="Arial" w:cs="Arial" w:eastAsia="Arial" w:hAnsi="Arial"/>
                <w:sz w:val="16"/>
                <w:szCs w:val="16"/>
                <w:color w:val="auto"/>
              </w:rPr>
              <w:t>Risks and exposures associated with our business strategy, financial performance,</w:t>
            </w:r>
          </w:p>
        </w:tc>
      </w:tr>
      <w:tr>
        <w:trPr>
          <w:trHeight w:val="215"/>
        </w:trPr>
        <w:tc>
          <w:tcPr>
            <w:tcW w:w="226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policy matters, acquisitions and divestitures, succession planning, crisis management,</w:t>
            </w:r>
          </w:p>
        </w:tc>
      </w:tr>
      <w:tr>
        <w:trPr>
          <w:trHeight w:val="204"/>
        </w:trPr>
        <w:tc>
          <w:tcPr>
            <w:tcW w:w="2260" w:type="dxa"/>
            <w:vAlign w:val="bottom"/>
          </w:tcPr>
          <w:p>
            <w:pPr>
              <w:spacing w:after="0"/>
              <w:rPr>
                <w:sz w:val="17"/>
                <w:szCs w:val="17"/>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artificial intelligence, and other matters that may present material risk to our financial</w:t>
            </w:r>
          </w:p>
        </w:tc>
      </w:tr>
      <w:tr>
        <w:trPr>
          <w:trHeight w:val="215"/>
        </w:trPr>
        <w:tc>
          <w:tcPr>
            <w:tcW w:w="226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performance, plans, prospects or reputation, as well as risks and exposures</w:t>
            </w:r>
          </w:p>
        </w:tc>
      </w:tr>
      <w:tr>
        <w:trPr>
          <w:trHeight w:val="216"/>
        </w:trPr>
        <w:tc>
          <w:tcPr>
            <w:tcW w:w="226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associated with our operational infrastructure, particularly security and reliability.</w:t>
            </w:r>
          </w:p>
        </w:tc>
      </w:tr>
      <w:tr>
        <w:trPr>
          <w:trHeight w:val="97"/>
        </w:trPr>
        <w:tc>
          <w:tcPr>
            <w:tcW w:w="2260" w:type="dxa"/>
            <w:vAlign w:val="bottom"/>
            <w:tcBorders>
              <w:bottom w:val="single" w:sz="8" w:color="CCCCCC"/>
            </w:tcBorders>
          </w:tcPr>
          <w:p>
            <w:pPr>
              <w:spacing w:after="0"/>
              <w:rPr>
                <w:sz w:val="8"/>
                <w:szCs w:val="8"/>
                <w:color w:val="auto"/>
              </w:rPr>
            </w:pPr>
          </w:p>
        </w:tc>
        <w:tc>
          <w:tcPr>
            <w:tcW w:w="6500" w:type="dxa"/>
            <w:vAlign w:val="bottom"/>
            <w:tcBorders>
              <w:bottom w:val="single" w:sz="8" w:color="CCCCCC"/>
            </w:tcBorders>
          </w:tcPr>
          <w:p>
            <w:pPr>
              <w:spacing w:after="0"/>
              <w:rPr>
                <w:sz w:val="8"/>
                <w:szCs w:val="8"/>
                <w:color w:val="auto"/>
              </w:rPr>
            </w:pPr>
          </w:p>
        </w:tc>
      </w:tr>
      <w:tr>
        <w:trPr>
          <w:trHeight w:val="303"/>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Audit Committee</w:t>
            </w:r>
          </w:p>
        </w:tc>
        <w:tc>
          <w:tcPr>
            <w:tcW w:w="6500" w:type="dxa"/>
            <w:vAlign w:val="bottom"/>
          </w:tcPr>
          <w:p>
            <w:pPr>
              <w:ind w:left="240"/>
              <w:spacing w:after="0"/>
              <w:rPr>
                <w:sz w:val="20"/>
                <w:szCs w:val="20"/>
                <w:color w:val="auto"/>
              </w:rPr>
            </w:pPr>
            <w:r>
              <w:rPr>
                <w:rFonts w:ascii="Arial" w:cs="Arial" w:eastAsia="Arial" w:hAnsi="Arial"/>
                <w:sz w:val="16"/>
                <w:szCs w:val="16"/>
                <w:color w:val="auto"/>
              </w:rPr>
              <w:t>Risks and exposures associated with financial matters, privacy matters, tax,</w:t>
            </w:r>
          </w:p>
        </w:tc>
      </w:tr>
      <w:tr>
        <w:trPr>
          <w:trHeight w:val="215"/>
        </w:trPr>
        <w:tc>
          <w:tcPr>
            <w:tcW w:w="226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accounting, disclosure, internal control over financial reporting, internal audit, legal and</w:t>
            </w:r>
          </w:p>
        </w:tc>
      </w:tr>
      <w:tr>
        <w:trPr>
          <w:trHeight w:val="204"/>
        </w:trPr>
        <w:tc>
          <w:tcPr>
            <w:tcW w:w="2260" w:type="dxa"/>
            <w:vAlign w:val="bottom"/>
          </w:tcPr>
          <w:p>
            <w:pPr>
              <w:spacing w:after="0"/>
              <w:rPr>
                <w:sz w:val="17"/>
                <w:szCs w:val="17"/>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regulatory compliance, compliance with our code of business conduct and ethics,</w:t>
            </w:r>
          </w:p>
        </w:tc>
      </w:tr>
      <w:tr>
        <w:trPr>
          <w:trHeight w:val="215"/>
        </w:trPr>
        <w:tc>
          <w:tcPr>
            <w:tcW w:w="226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capital availability and liquidity matters.</w:t>
            </w:r>
          </w:p>
        </w:tc>
      </w:tr>
      <w:tr>
        <w:trPr>
          <w:trHeight w:val="110"/>
        </w:trPr>
        <w:tc>
          <w:tcPr>
            <w:tcW w:w="2260" w:type="dxa"/>
            <w:vAlign w:val="bottom"/>
            <w:tcBorders>
              <w:bottom w:val="single" w:sz="8" w:color="CCCCCC"/>
            </w:tcBorders>
          </w:tcPr>
          <w:p>
            <w:pPr>
              <w:spacing w:after="0"/>
              <w:rPr>
                <w:sz w:val="9"/>
                <w:szCs w:val="9"/>
                <w:color w:val="auto"/>
              </w:rPr>
            </w:pPr>
          </w:p>
        </w:tc>
        <w:tc>
          <w:tcPr>
            <w:tcW w:w="6500" w:type="dxa"/>
            <w:vAlign w:val="bottom"/>
            <w:tcBorders>
              <w:bottom w:val="single" w:sz="8" w:color="CCCCCC"/>
            </w:tcBorders>
          </w:tcPr>
          <w:p>
            <w:pPr>
              <w:spacing w:after="0"/>
              <w:rPr>
                <w:sz w:val="9"/>
                <w:szCs w:val="9"/>
                <w:color w:val="auto"/>
              </w:rPr>
            </w:pPr>
          </w:p>
        </w:tc>
      </w:tr>
      <w:tr>
        <w:trPr>
          <w:trHeight w:val="303"/>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Compensation</w:t>
            </w:r>
          </w:p>
        </w:tc>
        <w:tc>
          <w:tcPr>
            <w:tcW w:w="6500" w:type="dxa"/>
            <w:vAlign w:val="bottom"/>
          </w:tcPr>
          <w:p>
            <w:pPr>
              <w:ind w:left="240"/>
              <w:spacing w:after="0"/>
              <w:rPr>
                <w:sz w:val="20"/>
                <w:szCs w:val="20"/>
                <w:color w:val="auto"/>
              </w:rPr>
            </w:pPr>
            <w:r>
              <w:rPr>
                <w:rFonts w:ascii="Arial" w:cs="Arial" w:eastAsia="Arial" w:hAnsi="Arial"/>
                <w:sz w:val="16"/>
                <w:szCs w:val="16"/>
                <w:color w:val="auto"/>
              </w:rPr>
              <w:t>Risks and exposures associated with retention and succession, our executive</w:t>
            </w:r>
          </w:p>
        </w:tc>
      </w:tr>
      <w:tr>
        <w:trPr>
          <w:trHeight w:val="216"/>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Committee</w:t>
            </w:r>
          </w:p>
        </w:tc>
        <w:tc>
          <w:tcPr>
            <w:tcW w:w="6500" w:type="dxa"/>
            <w:vAlign w:val="bottom"/>
          </w:tcPr>
          <w:p>
            <w:pPr>
              <w:ind w:left="240"/>
              <w:spacing w:after="0"/>
              <w:rPr>
                <w:sz w:val="20"/>
                <w:szCs w:val="20"/>
                <w:color w:val="auto"/>
              </w:rPr>
            </w:pPr>
            <w:r>
              <w:rPr>
                <w:rFonts w:ascii="Arial" w:cs="Arial" w:eastAsia="Arial" w:hAnsi="Arial"/>
                <w:sz w:val="16"/>
                <w:szCs w:val="16"/>
                <w:color w:val="auto"/>
              </w:rPr>
              <w:t>compensation program and arrangements and certain broad-based</w:t>
            </w:r>
          </w:p>
        </w:tc>
      </w:tr>
      <w:tr>
        <w:trPr>
          <w:trHeight w:val="215"/>
        </w:trPr>
        <w:tc>
          <w:tcPr>
            <w:tcW w:w="226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compensation vehicles.</w:t>
            </w:r>
          </w:p>
        </w:tc>
      </w:tr>
      <w:tr>
        <w:trPr>
          <w:trHeight w:val="83"/>
        </w:trPr>
        <w:tc>
          <w:tcPr>
            <w:tcW w:w="2260" w:type="dxa"/>
            <w:vAlign w:val="bottom"/>
            <w:tcBorders>
              <w:bottom w:val="single" w:sz="8" w:color="CCCCCC"/>
            </w:tcBorders>
          </w:tcPr>
          <w:p>
            <w:pPr>
              <w:spacing w:after="0"/>
              <w:rPr>
                <w:sz w:val="7"/>
                <w:szCs w:val="7"/>
                <w:color w:val="auto"/>
              </w:rPr>
            </w:pPr>
          </w:p>
        </w:tc>
        <w:tc>
          <w:tcPr>
            <w:tcW w:w="6500" w:type="dxa"/>
            <w:vAlign w:val="bottom"/>
            <w:tcBorders>
              <w:bottom w:val="single" w:sz="8" w:color="CCCCCC"/>
            </w:tcBorders>
          </w:tcPr>
          <w:p>
            <w:pPr>
              <w:spacing w:after="0"/>
              <w:rPr>
                <w:sz w:val="7"/>
                <w:szCs w:val="7"/>
                <w:color w:val="auto"/>
              </w:rPr>
            </w:pPr>
          </w:p>
        </w:tc>
      </w:tr>
      <w:tr>
        <w:trPr>
          <w:trHeight w:val="303"/>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Corporate Governance,</w:t>
            </w:r>
          </w:p>
        </w:tc>
        <w:tc>
          <w:tcPr>
            <w:tcW w:w="6500" w:type="dxa"/>
            <w:vAlign w:val="bottom"/>
          </w:tcPr>
          <w:p>
            <w:pPr>
              <w:ind w:left="240"/>
              <w:spacing w:after="0"/>
              <w:rPr>
                <w:sz w:val="20"/>
                <w:szCs w:val="20"/>
                <w:color w:val="auto"/>
              </w:rPr>
            </w:pPr>
            <w:r>
              <w:rPr>
                <w:rFonts w:ascii="Arial" w:cs="Arial" w:eastAsia="Arial" w:hAnsi="Arial"/>
                <w:sz w:val="16"/>
                <w:szCs w:val="16"/>
                <w:color w:val="auto"/>
              </w:rPr>
              <w:t>Risks and exposures associated with director succession planning, sustainability</w:t>
            </w:r>
          </w:p>
        </w:tc>
      </w:tr>
      <w:tr>
        <w:trPr>
          <w:trHeight w:val="216"/>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Nominating and</w:t>
            </w:r>
          </w:p>
        </w:tc>
        <w:tc>
          <w:tcPr>
            <w:tcW w:w="6500" w:type="dxa"/>
            <w:vAlign w:val="bottom"/>
          </w:tcPr>
          <w:p>
            <w:pPr>
              <w:ind w:left="240"/>
              <w:spacing w:after="0"/>
              <w:rPr>
                <w:sz w:val="20"/>
                <w:szCs w:val="20"/>
                <w:color w:val="auto"/>
              </w:rPr>
            </w:pPr>
            <w:r>
              <w:rPr>
                <w:rFonts w:ascii="Arial" w:cs="Arial" w:eastAsia="Arial" w:hAnsi="Arial"/>
                <w:sz w:val="16"/>
                <w:szCs w:val="16"/>
                <w:color w:val="auto"/>
              </w:rPr>
              <w:t>matters, climate risk, lobbying and political engagement, overall Board and</w:t>
            </w:r>
          </w:p>
        </w:tc>
      </w:tr>
      <w:tr>
        <w:trPr>
          <w:trHeight w:val="203"/>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Sustainability Committee</w:t>
            </w:r>
          </w:p>
        </w:tc>
        <w:tc>
          <w:tcPr>
            <w:tcW w:w="6500" w:type="dxa"/>
            <w:vAlign w:val="bottom"/>
          </w:tcPr>
          <w:p>
            <w:pPr>
              <w:ind w:left="240"/>
              <w:spacing w:after="0"/>
              <w:rPr>
                <w:sz w:val="20"/>
                <w:szCs w:val="20"/>
                <w:color w:val="auto"/>
              </w:rPr>
            </w:pPr>
            <w:r>
              <w:rPr>
                <w:rFonts w:ascii="Arial" w:cs="Arial" w:eastAsia="Arial" w:hAnsi="Arial"/>
                <w:sz w:val="16"/>
                <w:szCs w:val="16"/>
                <w:color w:val="auto"/>
              </w:rPr>
              <w:t>committee effectiveness and composition and compliance with our Corporate</w:t>
            </w:r>
          </w:p>
        </w:tc>
      </w:tr>
      <w:tr>
        <w:trPr>
          <w:trHeight w:val="215"/>
        </w:trPr>
        <w:tc>
          <w:tcPr>
            <w:tcW w:w="226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Governance Guidelines.</w:t>
            </w:r>
          </w:p>
        </w:tc>
      </w:tr>
      <w:tr>
        <w:trPr>
          <w:trHeight w:val="110"/>
        </w:trPr>
        <w:tc>
          <w:tcPr>
            <w:tcW w:w="2260" w:type="dxa"/>
            <w:vAlign w:val="bottom"/>
            <w:tcBorders>
              <w:bottom w:val="single" w:sz="8" w:color="CCCCCC"/>
            </w:tcBorders>
          </w:tcPr>
          <w:p>
            <w:pPr>
              <w:spacing w:after="0"/>
              <w:rPr>
                <w:sz w:val="9"/>
                <w:szCs w:val="9"/>
                <w:color w:val="auto"/>
              </w:rPr>
            </w:pPr>
          </w:p>
        </w:tc>
        <w:tc>
          <w:tcPr>
            <w:tcW w:w="6500" w:type="dxa"/>
            <w:vAlign w:val="bottom"/>
            <w:tcBorders>
              <w:bottom w:val="single" w:sz="8" w:color="CCCCCC"/>
            </w:tcBorders>
          </w:tcPr>
          <w:p>
            <w:pPr>
              <w:spacing w:after="0"/>
              <w:rPr>
                <w:sz w:val="9"/>
                <w:szCs w:val="9"/>
                <w:color w:val="auto"/>
              </w:rPr>
            </w:pPr>
          </w:p>
        </w:tc>
      </w:tr>
      <w:tr>
        <w:trPr>
          <w:trHeight w:val="303"/>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Risk and Technology</w:t>
            </w:r>
          </w:p>
        </w:tc>
        <w:tc>
          <w:tcPr>
            <w:tcW w:w="6500" w:type="dxa"/>
            <w:vAlign w:val="bottom"/>
          </w:tcPr>
          <w:p>
            <w:pPr>
              <w:ind w:left="240"/>
              <w:spacing w:after="0"/>
              <w:rPr>
                <w:sz w:val="20"/>
                <w:szCs w:val="20"/>
                <w:color w:val="auto"/>
              </w:rPr>
            </w:pPr>
            <w:r>
              <w:rPr>
                <w:rFonts w:ascii="Arial" w:cs="Arial" w:eastAsia="Arial" w:hAnsi="Arial"/>
                <w:sz w:val="16"/>
                <w:szCs w:val="16"/>
                <w:color w:val="auto"/>
              </w:rPr>
              <w:t>Risks and exposures associated with the Enterprise Risk Management function,</w:t>
            </w:r>
          </w:p>
        </w:tc>
      </w:tr>
      <w:tr>
        <w:trPr>
          <w:trHeight w:val="216"/>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Committee</w:t>
            </w:r>
          </w:p>
        </w:tc>
        <w:tc>
          <w:tcPr>
            <w:tcW w:w="6500" w:type="dxa"/>
            <w:vAlign w:val="bottom"/>
          </w:tcPr>
          <w:p>
            <w:pPr>
              <w:ind w:left="240"/>
              <w:spacing w:after="0"/>
              <w:rPr>
                <w:sz w:val="20"/>
                <w:szCs w:val="20"/>
                <w:color w:val="auto"/>
              </w:rPr>
            </w:pPr>
            <w:r>
              <w:rPr>
                <w:rFonts w:ascii="Arial" w:cs="Arial" w:eastAsia="Arial" w:hAnsi="Arial"/>
                <w:sz w:val="16"/>
                <w:szCs w:val="16"/>
                <w:color w:val="auto"/>
              </w:rPr>
              <w:t>strategy and competition (including innovation and disruptive technology risk),</w:t>
            </w:r>
          </w:p>
        </w:tc>
      </w:tr>
      <w:tr>
        <w:trPr>
          <w:trHeight w:val="203"/>
        </w:trPr>
        <w:tc>
          <w:tcPr>
            <w:tcW w:w="2260" w:type="dxa"/>
            <w:vAlign w:val="bottom"/>
          </w:tcPr>
          <w:p>
            <w:pPr>
              <w:spacing w:after="0"/>
              <w:rPr>
                <w:sz w:val="17"/>
                <w:szCs w:val="17"/>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cybersecurity, artificial intelligence, information security, technology, business</w:t>
            </w:r>
          </w:p>
        </w:tc>
      </w:tr>
      <w:tr>
        <w:trPr>
          <w:trHeight w:val="215"/>
        </w:trPr>
        <w:tc>
          <w:tcPr>
            <w:tcW w:w="226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continuity, fraud, operations and infrastructure, brand and reputation risk, geopolitical</w:t>
            </w:r>
          </w:p>
        </w:tc>
      </w:tr>
      <w:tr>
        <w:trPr>
          <w:trHeight w:val="216"/>
        </w:trPr>
        <w:tc>
          <w:tcPr>
            <w:tcW w:w="226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6"/>
                <w:szCs w:val="16"/>
                <w:color w:val="auto"/>
              </w:rPr>
              <w:t>and country risk and regulatory reports or inquiries related to enterprise risks.</w:t>
            </w:r>
          </w:p>
        </w:tc>
      </w:tr>
      <w:tr>
        <w:trPr>
          <w:trHeight w:val="97"/>
        </w:trPr>
        <w:tc>
          <w:tcPr>
            <w:tcW w:w="2260" w:type="dxa"/>
            <w:vAlign w:val="bottom"/>
            <w:tcBorders>
              <w:bottom w:val="single" w:sz="8" w:color="431C5B"/>
            </w:tcBorders>
          </w:tcPr>
          <w:p>
            <w:pPr>
              <w:spacing w:after="0"/>
              <w:rPr>
                <w:sz w:val="8"/>
                <w:szCs w:val="8"/>
                <w:color w:val="auto"/>
              </w:rPr>
            </w:pPr>
          </w:p>
        </w:tc>
        <w:tc>
          <w:tcPr>
            <w:tcW w:w="6500" w:type="dxa"/>
            <w:vAlign w:val="bottom"/>
            <w:tcBorders>
              <w:bottom w:val="single" w:sz="8" w:color="431C5B"/>
            </w:tcBorders>
          </w:tcPr>
          <w:p>
            <w:pPr>
              <w:spacing w:after="0"/>
              <w:rPr>
                <w:sz w:val="8"/>
                <w:szCs w:val="8"/>
                <w:color w:val="auto"/>
              </w:rPr>
            </w:pPr>
          </w:p>
        </w:tc>
      </w:tr>
    </w:tbl>
    <w:p>
      <w:pPr>
        <w:spacing w:after="0" w:line="202" w:lineRule="exact"/>
        <w:rPr>
          <w:sz w:val="20"/>
          <w:szCs w:val="20"/>
          <w:color w:val="auto"/>
        </w:rPr>
      </w:pPr>
    </w:p>
    <w:p>
      <w:pPr>
        <w:ind w:left="140" w:right="179"/>
        <w:spacing w:after="0" w:line="275" w:lineRule="auto"/>
        <w:rPr>
          <w:sz w:val="20"/>
          <w:szCs w:val="20"/>
          <w:color w:val="auto"/>
        </w:rPr>
      </w:pPr>
      <w:r>
        <w:rPr>
          <w:rFonts w:ascii="Arial" w:cs="Arial" w:eastAsia="Arial" w:hAnsi="Arial"/>
          <w:sz w:val="16"/>
          <w:szCs w:val="16"/>
          <w:color w:val="auto"/>
        </w:rPr>
        <w:t>While the Board is ultimately responsible for risk oversight at our Company, our Board has delegated oversight of the Company’s risk management process to the Enterprise Risk Committee (“ERC”). Its role in the Company’s risk oversight process includes overseeing the enterprise risk management program and the risk management activities. The Enterprise Risk Office provides periodic reporting of the enterprise risk management program, their assessment activities and emerging risks to the ERC and the Risk and Technology Committee of the Board, and in the case of the Company’s Compliance and Ethics programs, under the direction of the Chief Legal Officer, members of the Compliance and Legal teams provide updates to the Audit Committee of the Board. The Enterprise Risk Office is responsible for ensuring the development and deployment of the Company’s risk management program infrastructure, coordinating and conducting risk assessments, prioritizing and reporting risks, developing risk mitigation strategies, and tracking and managing</w:t>
      </w:r>
    </w:p>
    <w:p>
      <w:pPr>
        <w:spacing w:after="0" w:line="6" w:lineRule="exact"/>
        <w:rPr>
          <w:sz w:val="20"/>
          <w:szCs w:val="20"/>
          <w:color w:val="auto"/>
        </w:rPr>
      </w:pPr>
    </w:p>
    <w:p>
      <w:pPr>
        <w:ind w:left="140" w:right="239"/>
        <w:spacing w:after="0" w:line="282" w:lineRule="auto"/>
        <w:rPr>
          <w:sz w:val="20"/>
          <w:szCs w:val="20"/>
          <w:color w:val="auto"/>
        </w:rPr>
      </w:pPr>
      <w:r>
        <w:rPr>
          <w:rFonts w:ascii="Arial" w:cs="Arial" w:eastAsia="Arial" w:hAnsi="Arial"/>
          <w:sz w:val="16"/>
          <w:szCs w:val="16"/>
          <w:color w:val="auto"/>
        </w:rPr>
        <w:t>risk mitigation initiatives. The ERC is responsible for assessing the overall effectiveness of the risk management program and activities performed by senior management to mitigate specific risks. In its oversight role, the ERC verifies the risk management strategy deployed by the Enterprise Risk Office and Compliance Office and reviews and approves the Company’s identified top risks and risk management plan. The ERC receives periodic risk management effectiveness reporting from management, as well as updates on program changes and emerging risks.</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Cybersecurity and Information Security Risk</w:t>
      </w:r>
    </w:p>
    <w:p>
      <w:pPr>
        <w:spacing w:after="0" w:line="87" w:lineRule="exact"/>
        <w:rPr>
          <w:sz w:val="20"/>
          <w:szCs w:val="20"/>
          <w:color w:val="auto"/>
        </w:rPr>
      </w:pPr>
    </w:p>
    <w:p>
      <w:pPr>
        <w:ind w:left="140" w:right="379"/>
        <w:spacing w:after="0" w:line="321" w:lineRule="auto"/>
        <w:rPr>
          <w:sz w:val="20"/>
          <w:szCs w:val="20"/>
          <w:color w:val="auto"/>
        </w:rPr>
      </w:pPr>
      <w:r>
        <w:rPr>
          <w:rFonts w:ascii="Arial" w:cs="Arial" w:eastAsia="Arial" w:hAnsi="Arial"/>
          <w:sz w:val="16"/>
          <w:szCs w:val="16"/>
          <w:color w:val="auto"/>
        </w:rPr>
        <w:t>Our Board recognizes the importance of maintaining the trust and confidence of our customers, clients and employees, and devotes significant time and attention to oversight of cybersecurity and information security risk.</w:t>
      </w:r>
    </w:p>
    <w:p>
      <w:pPr>
        <w:spacing w:after="0" w:line="88" w:lineRule="exact"/>
        <w:rPr>
          <w:sz w:val="20"/>
          <w:szCs w:val="20"/>
          <w:color w:val="auto"/>
        </w:rPr>
      </w:pPr>
    </w:p>
    <w:p>
      <w:pPr>
        <w:ind w:left="140" w:right="279"/>
        <w:spacing w:after="0" w:line="289" w:lineRule="auto"/>
        <w:rPr>
          <w:sz w:val="20"/>
          <w:szCs w:val="20"/>
          <w:color w:val="auto"/>
        </w:rPr>
      </w:pPr>
      <w:r>
        <w:rPr>
          <w:rFonts w:ascii="Arial" w:cs="Arial" w:eastAsia="Arial" w:hAnsi="Arial"/>
          <w:sz w:val="16"/>
          <w:szCs w:val="16"/>
          <w:color w:val="auto"/>
        </w:rPr>
        <w:t>Facilitated via regular updates on cybersecurity risk, our Board takes an active role in overseeing, managing, and setting risk tolerances for our cybersecurity program. In 2025, the Board received regular updates from FIS representatives, as well as industry experts, on emerging cyber risk trends and risk management programs undertaken by company management to mitigate these risks.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29</w:t>
      </w:r>
    </w:p>
    <w:p>
      <w:pPr>
        <w:sectPr>
          <w:pgSz w:w="11900" w:h="16838" w:orient="portrait"/>
          <w:cols w:equalWidth="0" w:num="1">
            <w:col w:w="9019"/>
          </w:cols>
          <w:pgMar w:left="1440" w:top="657" w:right="1440" w:bottom="1440" w:gutter="0" w:footer="0" w:header="0"/>
          <w:type w:val="continuous"/>
        </w:sectPr>
      </w:pPr>
    </w:p>
    <w:bookmarkStart w:id="32" w:name="page33"/>
    <w:bookmarkEnd w:id="32"/>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15" w:lineRule="exact"/>
        <w:rPr>
          <w:sz w:val="20"/>
          <w:szCs w:val="20"/>
          <w:color w:val="auto"/>
        </w:rPr>
      </w:pPr>
    </w:p>
    <w:p>
      <w:pPr>
        <w:ind w:left="140" w:right="259"/>
        <w:spacing w:after="0" w:line="279" w:lineRule="auto"/>
        <w:rPr>
          <w:sz w:val="20"/>
          <w:szCs w:val="20"/>
          <w:color w:val="auto"/>
        </w:rPr>
      </w:pPr>
      <w:r>
        <w:rPr>
          <w:rFonts w:ascii="Arial" w:cs="Arial" w:eastAsia="Arial" w:hAnsi="Arial"/>
          <w:sz w:val="16"/>
          <w:szCs w:val="16"/>
          <w:color w:val="auto"/>
        </w:rPr>
        <w:t>The Risk and Technology Committee oversees the Company’s cybersecurity and information security risk programs, as well as management’s actions to identify, assess, mitigate and remediate material cyber risk issues. The Risk and Technology Committee receives regular quarterly reports from the Chief Risk Officer and Chief Information Security Officer on the Company’s cybersecurity and information security programs, and other periodic updates throughout the year. The Risk and Technology Committee also meets with third-party advisors and experts, as appropriate, to evaluate the Company’s cybersecurity and information security programs. The Company’s risk environment is re-assessed quarterly, or more frequently in the case of potential emerging risks, and any significant emerging risks that are identified are subsequently transitioned and incorporated into the Company’s risk assessment program.</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Data Protection &amp; Privacy</w:t>
      </w:r>
    </w:p>
    <w:p>
      <w:pPr>
        <w:spacing w:after="0" w:line="87" w:lineRule="exact"/>
        <w:rPr>
          <w:sz w:val="20"/>
          <w:szCs w:val="20"/>
          <w:color w:val="auto"/>
        </w:rPr>
      </w:pPr>
    </w:p>
    <w:p>
      <w:pPr>
        <w:jc w:val="both"/>
        <w:ind w:left="140" w:right="359"/>
        <w:spacing w:after="0" w:line="292" w:lineRule="auto"/>
        <w:rPr>
          <w:sz w:val="20"/>
          <w:szCs w:val="20"/>
          <w:color w:val="auto"/>
        </w:rPr>
      </w:pPr>
      <w:r>
        <w:rPr>
          <w:rFonts w:ascii="Arial" w:cs="Arial" w:eastAsia="Arial" w:hAnsi="Arial"/>
          <w:sz w:val="16"/>
          <w:szCs w:val="16"/>
          <w:color w:val="auto"/>
        </w:rPr>
        <w:t>Information security and privacy are fundamental to FIS' complex, global business. Performing well in these areas is an asset that can increase FIS' competitive advantage, market share, and reputation. Conversely, challenges or failures in these spaces can have a material adverse affect on our business, customers, and reputation.</w:t>
      </w:r>
    </w:p>
    <w:p>
      <w:pPr>
        <w:spacing w:after="0" w:line="125" w:lineRule="exact"/>
        <w:rPr>
          <w:sz w:val="20"/>
          <w:szCs w:val="20"/>
          <w:color w:val="auto"/>
        </w:rPr>
      </w:pPr>
    </w:p>
    <w:p>
      <w:pPr>
        <w:ind w:left="140" w:right="299"/>
        <w:spacing w:after="0" w:line="282" w:lineRule="auto"/>
        <w:rPr>
          <w:sz w:val="20"/>
          <w:szCs w:val="20"/>
          <w:color w:val="auto"/>
        </w:rPr>
      </w:pPr>
      <w:r>
        <w:rPr>
          <w:rFonts w:ascii="Arial" w:cs="Arial" w:eastAsia="Arial" w:hAnsi="Arial"/>
          <w:sz w:val="16"/>
          <w:szCs w:val="16"/>
          <w:color w:val="auto"/>
        </w:rPr>
        <w:t>"Think Secure. Be Secure." represents the underlying theme of our comprehensive information security and data protection programs. In general, global attacks on corporate and governmental information technology systems continue to grow in frequency, complexity and sophistication. We remain vigilant and focused on making strategic investments in information security to protect our clients and our information systems. We also participate in industry and governmental initiatives to improve information security for our clients.</w:t>
      </w:r>
    </w:p>
    <w:p>
      <w:pPr>
        <w:spacing w:after="0" w:line="134" w:lineRule="exact"/>
        <w:rPr>
          <w:sz w:val="20"/>
          <w:szCs w:val="20"/>
          <w:color w:val="auto"/>
        </w:rPr>
      </w:pPr>
    </w:p>
    <w:p>
      <w:pPr>
        <w:ind w:left="140" w:right="559"/>
        <w:spacing w:after="0" w:line="292" w:lineRule="auto"/>
        <w:rPr>
          <w:sz w:val="20"/>
          <w:szCs w:val="20"/>
          <w:color w:val="auto"/>
        </w:rPr>
      </w:pPr>
      <w:r>
        <w:rPr>
          <w:rFonts w:ascii="Arial" w:cs="Arial" w:eastAsia="Arial" w:hAnsi="Arial"/>
          <w:sz w:val="16"/>
          <w:szCs w:val="16"/>
          <w:color w:val="auto"/>
        </w:rPr>
        <w:t>Events in the last few years have emphasized that the technology ecosystem in which FIS operates is highly interconnected. A successful cyberattack, privacy breach, or technology failure that is several links in the information supply chain away from FIS can have a significant impact on FIS and its operations.</w:t>
      </w:r>
    </w:p>
    <w:p>
      <w:pPr>
        <w:spacing w:after="0" w:line="125" w:lineRule="exact"/>
        <w:rPr>
          <w:sz w:val="20"/>
          <w:szCs w:val="20"/>
          <w:color w:val="auto"/>
        </w:rPr>
      </w:pPr>
    </w:p>
    <w:p>
      <w:pPr>
        <w:ind w:left="140" w:right="139"/>
        <w:spacing w:after="0" w:line="289" w:lineRule="auto"/>
        <w:rPr>
          <w:sz w:val="20"/>
          <w:szCs w:val="20"/>
          <w:color w:val="auto"/>
        </w:rPr>
      </w:pPr>
      <w:r>
        <w:rPr>
          <w:rFonts w:ascii="Arial" w:cs="Arial" w:eastAsia="Arial" w:hAnsi="Arial"/>
          <w:sz w:val="16"/>
          <w:szCs w:val="16"/>
          <w:color w:val="auto"/>
        </w:rPr>
        <w:t>FIS is committed to being a trusted steward of customer and consumer information, and is dedicated to compliance with all applicable information security, data protection, privacy, cyber resilience, and artificial intelligence laws wherever we do business. All FIS employees and contractors are required to complete annual Information Security and Privacy Awareness Training, which includes specific education on personal data protection, compliance, and risk management topics.</w:t>
      </w:r>
    </w:p>
    <w:p>
      <w:pPr>
        <w:spacing w:after="0" w:line="113" w:lineRule="exact"/>
        <w:rPr>
          <w:sz w:val="20"/>
          <w:szCs w:val="20"/>
          <w:color w:val="auto"/>
        </w:rPr>
      </w:pPr>
    </w:p>
    <w:p>
      <w:pPr>
        <w:ind w:left="140" w:right="159"/>
        <w:spacing w:after="0" w:line="280" w:lineRule="auto"/>
        <w:rPr>
          <w:sz w:val="20"/>
          <w:szCs w:val="20"/>
          <w:color w:val="auto"/>
        </w:rPr>
      </w:pPr>
      <w:r>
        <w:rPr>
          <w:rFonts w:ascii="Arial" w:cs="Arial" w:eastAsia="Arial" w:hAnsi="Arial"/>
          <w:sz w:val="16"/>
          <w:szCs w:val="16"/>
          <w:color w:val="auto"/>
        </w:rPr>
        <w:t>On a quarterly basis, our internal team evaluates and defines the Company's risk exposure in information security using a consistent set of key performance indicators based on the risk categories of security, financial, legal, operational and strategic risk, and conducts a review of the internal and external context of threat frequency. Our assessment is then reported to the ERC, and a subset of the materials provided to the ERC are presented to the Board's Risk and Technology Committee. It is our Company's practice that the Independent Chair of the Board attend and actively participate in any meetings of the Risk and Technology Committee, and we believe our Independent Chair's experience in the areas of corporate finance, government, and financial regulation provides meaningful guidance to the Board in its role of risk oversight. In addition, the Audit Committee receives quarterly presentations from the Company's Chief Compliance Officer on the Company's compliance activities and twice a year updates from the Chief Privacy Officer on privacy and data protection matters.</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Strategic Planning</w:t>
      </w:r>
    </w:p>
    <w:p>
      <w:pPr>
        <w:spacing w:after="0" w:line="101" w:lineRule="exact"/>
        <w:rPr>
          <w:sz w:val="20"/>
          <w:szCs w:val="20"/>
          <w:color w:val="auto"/>
        </w:rPr>
      </w:pPr>
    </w:p>
    <w:p>
      <w:pPr>
        <w:ind w:left="140" w:right="139"/>
        <w:spacing w:after="0" w:line="276" w:lineRule="auto"/>
        <w:rPr>
          <w:sz w:val="20"/>
          <w:szCs w:val="20"/>
          <w:color w:val="auto"/>
        </w:rPr>
      </w:pPr>
      <w:r>
        <w:rPr>
          <w:rFonts w:ascii="Arial" w:cs="Arial" w:eastAsia="Arial" w:hAnsi="Arial"/>
          <w:sz w:val="16"/>
          <w:szCs w:val="16"/>
          <w:color w:val="auto"/>
        </w:rPr>
        <w:t>One of the Board’s primary responsibilities is overseeing management’s establishment and execution of the Company’s strategy to create long-term, sustainable value for FIS shareholders. As a result, the Board maintains an active oversight role in helping management formulate, plan and implement the Company’s strategy. The Board annually conducts a thorough and in-depth strategy review which encompasses strategic plans for the Company as a whole and for individual businesses and select functional areas. The Board’s review looks out several years into the future and assesses the Company’s positioning within the competitive landscape, including the Company’s existing and prospective markets, technological changes, the products the Company offers and plans to offer, existing and emerging competitors and the opportunities and challenges facing the Company. As part of its review, the Board assesses the overall strategic goals; the courses of action (and the related timing), which may include investments and acquisitions, needed to achieve those goals; the capabilities, capital and other resources required to implement those actions; and challenges to executing the strategy and approaches to remediating those challenges. In its review, the Board considers input received from shareholders and other stakeholders. Throughout the year, and at least quarterly, the CEO and executive management provide detailed updates to the Board on the progress of and challenges to FIS’ strategy, as well as related risks and other significant business developments.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hanging="429"/>
        <w:spacing w:after="0"/>
        <w:tabs>
          <w:tab w:leader="none" w:pos="620" w:val="left"/>
        </w:tabs>
        <w:numPr>
          <w:ilvl w:val="0"/>
          <w:numId w:val="44"/>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33" w:name="page34"/>
    <w:bookmarkEnd w:id="33"/>
    <w:p>
      <w:pPr>
        <w:ind w:left="66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391"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Sustainability Program</w:t>
      </w:r>
    </w:p>
    <w:p>
      <w:pPr>
        <w:spacing w:after="0" w:line="87" w:lineRule="exact"/>
        <w:rPr>
          <w:sz w:val="20"/>
          <w:szCs w:val="20"/>
          <w:color w:val="auto"/>
        </w:rPr>
      </w:pPr>
    </w:p>
    <w:p>
      <w:pPr>
        <w:ind w:left="140" w:right="519"/>
        <w:spacing w:after="0" w:line="280" w:lineRule="auto"/>
        <w:rPr>
          <w:sz w:val="20"/>
          <w:szCs w:val="20"/>
          <w:color w:val="auto"/>
        </w:rPr>
      </w:pPr>
      <w:r>
        <w:rPr>
          <w:rFonts w:ascii="Arial" w:cs="Arial" w:eastAsia="Arial" w:hAnsi="Arial"/>
          <w:sz w:val="16"/>
          <w:szCs w:val="16"/>
          <w:color w:val="auto"/>
        </w:rPr>
        <w:t xml:space="preserve">Our approach to sustainability matters and driving long-term value starts with governance structures, policies, management committees and practices designed to support transparent reporting and accountability for our Board and senior management. Our Board’s Corporate Governance, Nominating and Sustainability Committee has oversight responsibility for our sustainability program, including climate risks and opportunities. Our Vice President of Corporate Affairs and Sustainability provides semi-annual progress reports to the Committee. The Vice President of Corporate Affairs and Sustainability also leads the Sustainability Team and is responsible for our sustainability strategy, regulatory compliance, and program execution. This role reports to the Chief Legal and Corporate Affairs Officer and provides approximately quarterly updates to the Company’s Executive Leadership through the Executive Steering Committee on Sustainability. The Steering Committee on Sustainability convenes executive leaders – including direct reports of the CEO and President – from Finance, Risk, Legal and Corporate Affairs, the People Office, and the Commercial Office to align on sustainability initiatives, regulatory compliance, and reporting. For more information about sustainability matters at FIS, including governance and oversight, please see the sustainability section of our website: </w:t>
      </w:r>
      <w:r>
        <w:rPr>
          <w:rFonts w:ascii="Arial" w:cs="Arial" w:eastAsia="Arial" w:hAnsi="Arial"/>
          <w:sz w:val="16"/>
          <w:szCs w:val="16"/>
          <w:b w:val="1"/>
          <w:bCs w:val="1"/>
          <w:color w:val="431C5B"/>
        </w:rPr>
        <w:t>https://www.fisglobal.com/global-sustainability.</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Political Engagement and Disclosure</w:t>
      </w:r>
    </w:p>
    <w:p>
      <w:pPr>
        <w:spacing w:after="0" w:line="101" w:lineRule="exact"/>
        <w:rPr>
          <w:sz w:val="20"/>
          <w:szCs w:val="20"/>
          <w:color w:val="auto"/>
        </w:rPr>
      </w:pPr>
    </w:p>
    <w:p>
      <w:pPr>
        <w:ind w:left="140" w:right="139"/>
        <w:spacing w:after="0" w:line="210" w:lineRule="exact"/>
        <w:rPr>
          <w:sz w:val="20"/>
          <w:szCs w:val="20"/>
          <w:color w:val="auto"/>
        </w:rPr>
      </w:pPr>
      <w:r>
        <w:rPr>
          <w:rFonts w:ascii="Arial" w:cs="Arial" w:eastAsia="Arial" w:hAnsi="Arial"/>
          <w:sz w:val="16"/>
          <w:szCs w:val="16"/>
          <w:color w:val="auto"/>
        </w:rPr>
        <w:t>FIS engages in the public policy process responsibly and transparently, guided by robust governance policies and Board oversight. The Company maintains a comprehensive Political Activities Policy that governs lobbying, political engagement, and the operation of the Company’s non</w:t>
      </w:r>
      <w:r>
        <w:rPr>
          <w:rFonts w:ascii="MS PGothic" w:cs="MS PGothic" w:eastAsia="MS PGothic" w:hAnsi="MS PGothic"/>
          <w:sz w:val="16"/>
          <w:szCs w:val="16"/>
          <w:color w:val="auto"/>
        </w:rPr>
        <w:t>‑</w:t>
      </w:r>
      <w:r>
        <w:rPr>
          <w:rFonts w:ascii="Arial" w:cs="Arial" w:eastAsia="Arial" w:hAnsi="Arial"/>
          <w:sz w:val="16"/>
          <w:szCs w:val="16"/>
          <w:color w:val="auto"/>
        </w:rPr>
        <w:t>partisan Political Action Committee (PAC). The Policy applies to all directors, officers, employees, subsidiaries, affiliates and relevant third parties worldwide and is designed to ensure all political activity is conducted responsibly, transparently, and in full compliance with applicable laws and regulations. Oversight of political activities, contributions, and expenditures is provided by the Corporate Governance, Nominating and Sustainability Committee, with the Vice President of Corporate Affairs and Sustainability reporting annually to the Board. In 2025, FIS further enhanced transparency by publishing an annual Political Contribution and Expenditure Report, available on the Company’s Investor Relations webpage.</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CEO Performance Evaluation</w:t>
      </w:r>
    </w:p>
    <w:p>
      <w:pPr>
        <w:spacing w:after="0" w:line="87" w:lineRule="exact"/>
        <w:rPr>
          <w:sz w:val="20"/>
          <w:szCs w:val="20"/>
          <w:color w:val="auto"/>
        </w:rPr>
      </w:pPr>
    </w:p>
    <w:p>
      <w:pPr>
        <w:jc w:val="both"/>
        <w:ind w:left="140" w:right="299"/>
        <w:spacing w:after="0" w:line="301" w:lineRule="auto"/>
        <w:rPr>
          <w:sz w:val="20"/>
          <w:szCs w:val="20"/>
          <w:color w:val="auto"/>
        </w:rPr>
      </w:pPr>
      <w:r>
        <w:rPr>
          <w:rFonts w:ascii="Arial" w:cs="Arial" w:eastAsia="Arial" w:hAnsi="Arial"/>
          <w:sz w:val="16"/>
          <w:szCs w:val="16"/>
          <w:color w:val="auto"/>
        </w:rPr>
        <w:t>Our Compensation Committee, including our Independent Chair, leads an annual evaluation of the CEO’s performance. The evaluation process includes executive sessions of the independent directors to discuss the CEO’s performance and ongoing discussions between our Independent Chair and the CEO throughout the year.</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Corporate Governance Guidelines, Policies and Practices</w:t>
      </w:r>
    </w:p>
    <w:p>
      <w:pPr>
        <w:spacing w:after="0" w:line="101" w:lineRule="exact"/>
        <w:rPr>
          <w:sz w:val="20"/>
          <w:szCs w:val="20"/>
          <w:color w:val="auto"/>
        </w:rPr>
      </w:pPr>
    </w:p>
    <w:p>
      <w:pPr>
        <w:ind w:left="140" w:right="219"/>
        <w:spacing w:after="0" w:line="277" w:lineRule="auto"/>
        <w:rPr>
          <w:sz w:val="20"/>
          <w:szCs w:val="20"/>
          <w:color w:val="auto"/>
        </w:rPr>
      </w:pPr>
      <w:r>
        <w:rPr>
          <w:rFonts w:ascii="Arial" w:cs="Arial" w:eastAsia="Arial" w:hAnsi="Arial"/>
          <w:sz w:val="16"/>
          <w:szCs w:val="16"/>
          <w:color w:val="auto"/>
        </w:rPr>
        <w:t xml:space="preserve">The Board is responsible for overseeing our business, and the competence and integrity of our management, to serve the long-term interests of our shareholders. The Board believes that sound corporate governance is essential to effective fulfillment of its oversight responsibilities. The Board has adopted Corporate Governance Guidelines, which are reviewed at least annually and updated as needed. Our Corporate Governance Guidelines are intended to provide, along with the charters of the committees of our Board, a framework for the functioning of our Board and its committees and to establish a common set of expectations as to how our Board should perform its functions. The Corporate Governance Guidelines address, among other things, the composition of our Board, the selection of directors, the functioning of our Board, the committees of our Board, the evaluation and compensation of directors and the expectations of directors, including ethics and conflicts of interest. You can find a copy of our Corporate Governance Guidelines in the governance section of our website at </w:t>
      </w:r>
      <w:r>
        <w:rPr>
          <w:rFonts w:ascii="Arial" w:cs="Arial" w:eastAsia="Arial" w:hAnsi="Arial"/>
          <w:sz w:val="16"/>
          <w:szCs w:val="16"/>
          <w:b w:val="1"/>
          <w:bCs w:val="1"/>
          <w:color w:val="431C5B"/>
        </w:rPr>
        <w:t>www.investor.fisglobal.com</w:t>
      </w:r>
      <w:r>
        <w:rPr>
          <w:rFonts w:ascii="Arial" w:cs="Arial" w:eastAsia="Arial" w:hAnsi="Arial"/>
          <w:sz w:val="16"/>
          <w:szCs w:val="16"/>
          <w:color w:val="auto"/>
        </w:rPr>
        <w:t xml:space="preserve"> and our Amended and Restated Articles of Incorporation and our Amended and Restated Bylaws can be found as exhibits to our Annual Report on Form 10-K. For a summary of our governance practices, see "Proxy Summary".</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Shareholder and Stakeholder Engagement</w:t>
      </w:r>
    </w:p>
    <w:p>
      <w:pPr>
        <w:spacing w:after="0" w:line="87" w:lineRule="exact"/>
        <w:rPr>
          <w:sz w:val="20"/>
          <w:szCs w:val="20"/>
          <w:color w:val="auto"/>
        </w:rPr>
      </w:pPr>
    </w:p>
    <w:p>
      <w:pPr>
        <w:ind w:left="140" w:right="139"/>
        <w:spacing w:after="0" w:line="289" w:lineRule="auto"/>
        <w:rPr>
          <w:sz w:val="20"/>
          <w:szCs w:val="20"/>
          <w:color w:val="auto"/>
        </w:rPr>
      </w:pPr>
      <w:r>
        <w:rPr>
          <w:rFonts w:ascii="Arial" w:cs="Arial" w:eastAsia="Arial" w:hAnsi="Arial"/>
          <w:sz w:val="16"/>
          <w:szCs w:val="16"/>
          <w:color w:val="auto"/>
        </w:rPr>
        <w:t>We are committed to ongoing engagement with our shareholders and other stakeholders. We believe that our engagement allows executive management and the Board the opportunity to understand the concerns of our shareholders and other stakeholders and make educated and deliberate decisions that are balanced and appropriate for our diverse stakeholder base and in the best interests of FIS.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31</w:t>
      </w:r>
    </w:p>
    <w:p>
      <w:pPr>
        <w:sectPr>
          <w:pgSz w:w="11900" w:h="16838" w:orient="portrait"/>
          <w:cols w:equalWidth="0" w:num="1">
            <w:col w:w="9019"/>
          </w:cols>
          <w:pgMar w:left="1440" w:top="657" w:right="1440" w:bottom="1440" w:gutter="0" w:footer="0" w:header="0"/>
          <w:type w:val="continuous"/>
        </w:sectPr>
      </w:pPr>
    </w:p>
    <w:bookmarkStart w:id="34" w:name="page35"/>
    <w:bookmarkEnd w:id="34"/>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15" w:lineRule="exact"/>
        <w:rPr>
          <w:sz w:val="20"/>
          <w:szCs w:val="20"/>
          <w:color w:val="auto"/>
        </w:rPr>
      </w:pPr>
    </w:p>
    <w:p>
      <w:pPr>
        <w:ind w:left="140" w:right="139"/>
        <w:spacing w:after="0" w:line="295" w:lineRule="auto"/>
        <w:rPr>
          <w:sz w:val="20"/>
          <w:szCs w:val="20"/>
          <w:color w:val="auto"/>
        </w:rPr>
      </w:pPr>
      <w:r>
        <w:rPr>
          <w:rFonts w:ascii="Arial" w:cs="Arial" w:eastAsia="Arial" w:hAnsi="Arial"/>
          <w:sz w:val="16"/>
          <w:szCs w:val="16"/>
          <w:color w:val="auto"/>
        </w:rPr>
        <w:t>We maintain an ongoing proactive engagement program overseen by our Board’s Corporate Governance, Nominating and Sustainability Committee. We engage with a wide range of stakeholders, including shareholders, sustainability rating firms, proxy advisory firms, fixed income investors, prospective shareholders, rating agencies and thought leaders, among others.</w:t>
      </w:r>
    </w:p>
    <w:p>
      <w:pPr>
        <w:spacing w:after="0" w:line="321" w:lineRule="exact"/>
        <w:rPr>
          <w:sz w:val="20"/>
          <w:szCs w:val="20"/>
          <w:color w:val="auto"/>
        </w:rPr>
      </w:pPr>
    </w:p>
    <w:p>
      <w:pPr>
        <w:ind w:left="140" w:right="759"/>
        <w:spacing w:after="0" w:line="289" w:lineRule="auto"/>
        <w:rPr>
          <w:sz w:val="20"/>
          <w:szCs w:val="20"/>
          <w:color w:val="auto"/>
        </w:rPr>
      </w:pPr>
      <w:r>
        <w:rPr>
          <w:rFonts w:ascii="Arial" w:cs="Arial" w:eastAsia="Arial" w:hAnsi="Arial"/>
          <w:sz w:val="16"/>
          <w:szCs w:val="16"/>
          <w:color w:val="auto"/>
        </w:rPr>
        <w:t>Throughout the year, members of our Investor Relations team, sustainability team, executive compensation team, corporate governance team and executive management team regularly engage with our shareholders and other stakeholders to seek their input, to remain well-informed regarding their perspectives and to help increase their understanding of our business.</w:t>
      </w:r>
    </w:p>
    <w:p>
      <w:pPr>
        <w:spacing w:after="0" w:line="126" w:lineRule="exact"/>
        <w:rPr>
          <w:sz w:val="20"/>
          <w:szCs w:val="20"/>
          <w:color w:val="auto"/>
        </w:rPr>
      </w:pPr>
    </w:p>
    <w:p>
      <w:pPr>
        <w:ind w:left="140" w:right="359"/>
        <w:spacing w:after="0" w:line="289" w:lineRule="auto"/>
        <w:rPr>
          <w:sz w:val="20"/>
          <w:szCs w:val="20"/>
          <w:color w:val="auto"/>
        </w:rPr>
      </w:pPr>
      <w:r>
        <w:rPr>
          <w:rFonts w:ascii="Arial" w:cs="Arial" w:eastAsia="Arial" w:hAnsi="Arial"/>
          <w:sz w:val="16"/>
          <w:szCs w:val="16"/>
          <w:color w:val="auto"/>
        </w:rPr>
        <w:t>Our executive management team and Board regularly consider feedback from our shareholders and other stakeholders and, as deemed appropriate, incorporate this feedback into the design and implementation of our strategy, programs and practices. This feedback has directly informed enhancements to our governance, sustainability, and disclosure practices in recent years.</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Code of Business Conduct and Ethics</w:t>
      </w:r>
    </w:p>
    <w:p>
      <w:pPr>
        <w:spacing w:after="0" w:line="101" w:lineRule="exact"/>
        <w:rPr>
          <w:sz w:val="20"/>
          <w:szCs w:val="20"/>
          <w:color w:val="auto"/>
        </w:rPr>
      </w:pPr>
    </w:p>
    <w:p>
      <w:pPr>
        <w:ind w:left="140" w:right="299"/>
        <w:spacing w:after="0" w:line="272" w:lineRule="auto"/>
        <w:rPr>
          <w:sz w:val="20"/>
          <w:szCs w:val="20"/>
          <w:color w:val="auto"/>
        </w:rPr>
      </w:pPr>
      <w:r>
        <w:rPr>
          <w:rFonts w:ascii="Arial" w:cs="Arial" w:eastAsia="Arial" w:hAnsi="Arial"/>
          <w:sz w:val="16"/>
          <w:szCs w:val="16"/>
          <w:color w:val="auto"/>
        </w:rPr>
        <w:t>Our Board has adopted an amended and restated Code of Business Conduct and Ethics (“Code of Conduct”), which is applicable to all our directors, officers and employees. The purpose of the Code of Conduct is to: (i) promote honest and ethical conduct, including the ethical handling of conflicts of interest; (ii) promote full, fair, accurate, timely and understandable disclosure; (iii) promote compliance with applicable laws and governmental rules and regulations;</w:t>
      </w:r>
    </w:p>
    <w:p>
      <w:pPr>
        <w:spacing w:after="0" w:line="3" w:lineRule="exact"/>
        <w:rPr>
          <w:sz w:val="20"/>
          <w:szCs w:val="20"/>
          <w:color w:val="auto"/>
        </w:rPr>
      </w:pPr>
    </w:p>
    <w:p>
      <w:pPr>
        <w:jc w:val="both"/>
        <w:ind w:left="140" w:right="119" w:hanging="10"/>
        <w:spacing w:after="0" w:line="289" w:lineRule="auto"/>
        <w:tabs>
          <w:tab w:leader="none" w:pos="41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ensure the protection of our legitimate business interests, including corporate opportunities, assets and confidential information; and (v) deter wrongdoing. Any waiver or amendment to the Code of Conduct with respect to the CEO, any Executive Officer or any Senior Financial Officer (as defined therein) must be approved by the Audit Committee and will be promptly disclosed to the extent required under applicable law, rule or regulation.</w:t>
      </w:r>
    </w:p>
    <w:p>
      <w:pPr>
        <w:spacing w:after="0" w:line="113" w:lineRule="exact"/>
        <w:rPr>
          <w:sz w:val="20"/>
          <w:szCs w:val="20"/>
          <w:color w:val="auto"/>
        </w:rPr>
      </w:pPr>
    </w:p>
    <w:p>
      <w:pPr>
        <w:jc w:val="both"/>
        <w:ind w:left="140" w:right="159"/>
        <w:spacing w:after="0" w:line="301" w:lineRule="auto"/>
        <w:rPr>
          <w:sz w:val="20"/>
          <w:szCs w:val="20"/>
          <w:color w:val="auto"/>
        </w:rPr>
      </w:pPr>
      <w:r>
        <w:rPr>
          <w:rFonts w:ascii="Arial" w:cs="Arial" w:eastAsia="Arial" w:hAnsi="Arial"/>
          <w:sz w:val="16"/>
          <w:szCs w:val="16"/>
          <w:color w:val="auto"/>
        </w:rPr>
        <w:t>Individuals are required to report suspected violations of the law, the Code or any FIS policy or standard. FIS has multiple confidential reporting channels. FIS does not tolerate retaliation against individuals who report wrongdoing or cooperate in an investigation.</w:t>
      </w:r>
    </w:p>
    <w:p>
      <w:pPr>
        <w:spacing w:after="0" w:line="104" w:lineRule="exact"/>
        <w:rPr>
          <w:sz w:val="20"/>
          <w:szCs w:val="20"/>
          <w:color w:val="auto"/>
        </w:rPr>
      </w:pPr>
    </w:p>
    <w:p>
      <w:pPr>
        <w:ind w:left="140" w:right="439"/>
        <w:spacing w:after="0" w:line="287" w:lineRule="auto"/>
        <w:rPr>
          <w:sz w:val="20"/>
          <w:szCs w:val="20"/>
          <w:color w:val="auto"/>
        </w:rPr>
      </w:pPr>
      <w:r>
        <w:rPr>
          <w:rFonts w:ascii="Arial" w:cs="Arial" w:eastAsia="Arial" w:hAnsi="Arial"/>
          <w:sz w:val="16"/>
          <w:szCs w:val="16"/>
          <w:color w:val="auto"/>
        </w:rPr>
        <w:t>The Board, through the Corporate Governance, Nominating and Sustainability Committee, has adopted a Code of Business Conduct and Ethics for Directors (“Director Code of Conduct”). This Director Code of Conduct provides guidelines for the directors in performing their functions on the Board, particularly with respect to transactions in the securities of the Company, potential conflicts of interest, the taking of corporate opportunities for personal use, and competing with the Company. Our directors review and certify compliance with this Director Code of Conduct annually.</w:t>
      </w:r>
    </w:p>
    <w:p>
      <w:pPr>
        <w:spacing w:after="0" w:line="115" w:lineRule="exact"/>
        <w:rPr>
          <w:sz w:val="20"/>
          <w:szCs w:val="20"/>
          <w:color w:val="auto"/>
        </w:rPr>
      </w:pPr>
    </w:p>
    <w:p>
      <w:pPr>
        <w:ind w:left="140" w:right="239"/>
        <w:spacing w:after="0" w:line="292" w:lineRule="auto"/>
        <w:rPr>
          <w:sz w:val="20"/>
          <w:szCs w:val="20"/>
          <w:color w:val="auto"/>
        </w:rPr>
      </w:pPr>
      <w:r>
        <w:rPr>
          <w:rFonts w:ascii="Arial" w:cs="Arial" w:eastAsia="Arial" w:hAnsi="Arial"/>
          <w:sz w:val="16"/>
          <w:szCs w:val="16"/>
          <w:color w:val="auto"/>
        </w:rPr>
        <w:t xml:space="preserve">The Code of Conduct and the Director Code of Conduct are available for review in the governance section of our website at </w:t>
      </w:r>
      <w:r>
        <w:rPr>
          <w:rFonts w:ascii="Arial" w:cs="Arial" w:eastAsia="Arial" w:hAnsi="Arial"/>
          <w:sz w:val="16"/>
          <w:szCs w:val="16"/>
          <w:b w:val="1"/>
          <w:bCs w:val="1"/>
          <w:color w:val="431C5B"/>
        </w:rPr>
        <w:t>www.investor.fisglobal.com</w:t>
      </w:r>
      <w:r>
        <w:rPr>
          <w:rFonts w:ascii="Arial" w:cs="Arial" w:eastAsia="Arial" w:hAnsi="Arial"/>
          <w:sz w:val="16"/>
          <w:szCs w:val="16"/>
          <w:color w:val="auto"/>
        </w:rPr>
        <w:t>. Shareholders may also obtain a copy of the Code of Conduct or the Director Code of Conduct by writing to the Corporate Secretary at the address set forth under “Available Information” on page 96.</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Review, Approval or Ratification of Transactions with Related Persons</w:t>
      </w:r>
    </w:p>
    <w:p>
      <w:pPr>
        <w:spacing w:after="0" w:line="87" w:lineRule="exact"/>
        <w:rPr>
          <w:sz w:val="20"/>
          <w:szCs w:val="20"/>
          <w:color w:val="auto"/>
        </w:rPr>
      </w:pPr>
    </w:p>
    <w:p>
      <w:pPr>
        <w:ind w:left="140" w:right="179"/>
        <w:spacing w:after="0" w:line="279" w:lineRule="auto"/>
        <w:rPr>
          <w:sz w:val="20"/>
          <w:szCs w:val="20"/>
          <w:color w:val="auto"/>
        </w:rPr>
      </w:pPr>
      <w:r>
        <w:rPr>
          <w:rFonts w:ascii="Arial" w:cs="Arial" w:eastAsia="Arial" w:hAnsi="Arial"/>
          <w:sz w:val="16"/>
          <w:szCs w:val="16"/>
          <w:color w:val="auto"/>
        </w:rPr>
        <w:t>Our Board has adopted a written related person transactions policy. Our Corporate Governance, Nominating and Sustainability Committee reviews and approves all transactions with certain "related persons" that are required to be disclosed pursuant to Item 404(a) of Regulation S-K under the Securities Act of 1933, as amended. Related persons include our executive officers, directors, nominees for directors, 5% or more beneficial owners of our common stock, and immediate family members of these persons. We refer to transactions involving amounts in excess of $120,000 in which the Company has an interest and in which the related person has a direct or indirect material interest as “related person transactions.” Each related person transaction must be approved in accordance with the Company’s written Related Person Transactions Policy by the Corporate Governance, Nominating and Sustainability Committee of the Board or, if the Corporate Governance, Nominating and Sustainability Committee of the Board determines that the approval of such related person transaction should be considered by all disinterested members of the Board, by the vote of a majority of such disinterested members. Since January 1, 2025, there have been no transactions, or currently proposed transactions, between the Company and related persons that required review by the Corporate Governance, Nominating and Sustainability Committee or that required disclosure in this proxy statement.</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 w:hanging="429"/>
        <w:spacing w:after="0"/>
        <w:tabs>
          <w:tab w:leader="none" w:pos="620" w:val="left"/>
        </w:tabs>
        <w:numPr>
          <w:ilvl w:val="0"/>
          <w:numId w:val="46"/>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35" w:name="page36"/>
    <w:bookmarkEnd w:id="35"/>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15" w:lineRule="exact"/>
        <w:rPr>
          <w:sz w:val="20"/>
          <w:szCs w:val="20"/>
          <w:color w:val="auto"/>
        </w:rPr>
      </w:pPr>
    </w:p>
    <w:p>
      <w:pPr>
        <w:ind w:left="140" w:right="399"/>
        <w:spacing w:after="0" w:line="321" w:lineRule="auto"/>
        <w:rPr>
          <w:sz w:val="20"/>
          <w:szCs w:val="20"/>
          <w:color w:val="auto"/>
        </w:rPr>
      </w:pPr>
      <w:r>
        <w:rPr>
          <w:rFonts w:ascii="Arial" w:cs="Arial" w:eastAsia="Arial" w:hAnsi="Arial"/>
          <w:sz w:val="16"/>
          <w:szCs w:val="16"/>
          <w:color w:val="auto"/>
        </w:rPr>
        <w:t>The Corporate Governance, Nominating and Sustainability Committee of the Board considers all relevant factors when determining whether to approve a related person transaction, including, without limitation, the following:</w:t>
      </w:r>
    </w:p>
    <w:p>
      <w:pPr>
        <w:spacing w:after="0" w:line="88" w:lineRule="exact"/>
        <w:rPr>
          <w:sz w:val="20"/>
          <w:szCs w:val="20"/>
          <w:color w:val="auto"/>
        </w:rPr>
      </w:pPr>
    </w:p>
    <w:p>
      <w:pPr>
        <w:ind w:left="320" w:hanging="190"/>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size of the transaction and the amount payable to a related person;</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nature of the interest of the related person in the transaction;</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Whether the transaction may involve a conflict of interest;</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Whether the transaction was undertaken in the ordinary course of business of the Company;</w:t>
      </w:r>
    </w:p>
    <w:p>
      <w:pPr>
        <w:spacing w:after="0" w:line="86" w:lineRule="exact"/>
        <w:rPr>
          <w:rFonts w:ascii="Arial" w:cs="Arial" w:eastAsia="Arial" w:hAnsi="Arial"/>
          <w:sz w:val="16"/>
          <w:szCs w:val="16"/>
          <w:color w:val="auto"/>
        </w:rPr>
      </w:pPr>
    </w:p>
    <w:p>
      <w:pPr>
        <w:ind w:left="320" w:right="339" w:hanging="190"/>
        <w:spacing w:after="0" w:line="304"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Whether the transaction is on terms and made under circumstances that are at least as favorable to the Company as would be available in comparable transactions with or involving unaffiliated third parties; and</w:t>
      </w:r>
    </w:p>
    <w:p>
      <w:pPr>
        <w:spacing w:after="0" w:line="6" w:lineRule="exact"/>
        <w:rPr>
          <w:rFonts w:ascii="Arial" w:cs="Arial" w:eastAsia="Arial" w:hAnsi="Arial"/>
          <w:sz w:val="16"/>
          <w:szCs w:val="16"/>
          <w:color w:val="auto"/>
        </w:rPr>
      </w:pPr>
    </w:p>
    <w:p>
      <w:pPr>
        <w:ind w:left="320" w:right="299" w:hanging="190"/>
        <w:spacing w:after="0" w:line="304"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other information regarding the related person transaction or related person that would be material to investors in light of the circumstances of the transaction.</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Board Refreshment and Effectiveness</w:t>
      </w:r>
    </w:p>
    <w:p>
      <w:pPr>
        <w:spacing w:after="0" w:line="87" w:lineRule="exact"/>
        <w:rPr>
          <w:sz w:val="20"/>
          <w:szCs w:val="20"/>
          <w:color w:val="auto"/>
        </w:rPr>
      </w:pPr>
    </w:p>
    <w:p>
      <w:pPr>
        <w:ind w:left="140" w:right="419"/>
        <w:spacing w:after="0" w:line="289" w:lineRule="auto"/>
        <w:rPr>
          <w:sz w:val="20"/>
          <w:szCs w:val="20"/>
          <w:color w:val="auto"/>
        </w:rPr>
      </w:pPr>
      <w:r>
        <w:rPr>
          <w:rFonts w:ascii="Arial" w:cs="Arial" w:eastAsia="Arial" w:hAnsi="Arial"/>
          <w:sz w:val="16"/>
          <w:szCs w:val="16"/>
          <w:color w:val="auto"/>
        </w:rPr>
        <w:t>The Corporate Governance, Nominating and Sustainability Committee oversees and plans for director succession and refreshment to add strategically important expertise and to maintain a diversity of thought, background and experience that supports the Company’s long-term strategy. Through our succession and refreshment plans, the Corporate Governance, Nominating and Sustainability Committee has an ongoing opportunity to:</w:t>
      </w:r>
    </w:p>
    <w:p>
      <w:pPr>
        <w:spacing w:after="0" w:line="126" w:lineRule="exact"/>
        <w:rPr>
          <w:sz w:val="20"/>
          <w:szCs w:val="20"/>
          <w:color w:val="auto"/>
        </w:rPr>
      </w:pPr>
    </w:p>
    <w:p>
      <w:pPr>
        <w:ind w:left="320" w:hanging="190"/>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Evaluate the depth and variety of experience of our Board;</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Expand and replace key skills and experience that support our long-term strategy;</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Maintain a balanced mix of director tenures; and</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Maintain Board size at appropriate levels.</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Searches for Director Candidates</w:t>
      </w:r>
    </w:p>
    <w:p>
      <w:pPr>
        <w:spacing w:after="0" w:line="101" w:lineRule="exact"/>
        <w:rPr>
          <w:sz w:val="20"/>
          <w:szCs w:val="20"/>
          <w:color w:val="auto"/>
        </w:rPr>
      </w:pPr>
    </w:p>
    <w:p>
      <w:pPr>
        <w:ind w:left="140" w:right="179"/>
        <w:spacing w:after="0" w:line="278" w:lineRule="auto"/>
        <w:rPr>
          <w:sz w:val="20"/>
          <w:szCs w:val="20"/>
          <w:color w:val="auto"/>
        </w:rPr>
      </w:pPr>
      <w:r>
        <w:rPr>
          <w:rFonts w:ascii="Arial" w:cs="Arial" w:eastAsia="Arial" w:hAnsi="Arial"/>
          <w:sz w:val="16"/>
          <w:szCs w:val="16"/>
          <w:color w:val="auto"/>
        </w:rPr>
        <w:t>The Corporate Governance, Nominating and Sustainability Committee develops and recommends to the Board criteria for the selection of qualified directors. When a need for a new director to fill a new Board seat or vacancy arises, the Corporate Governance, Nominating and Sustainability Committee proceeds by whatever means it deems appropriate to identify a qualified candidate or candidates, including engaging director search firms or considering candidates recommended by shareholders, as described below. The Corporate Governance, Nominating and Sustainability Committee reviews the qualifications of each candidate. Final candidates are generally interviewed by all of the Corporate Governance, Nominating and Sustainability Committee members, other members of the Board and select members of executive management. In addition, background and reference checks are conducted. The Corporate Governance, Nominating and Sustainability Committee makes a recommendation to our Board based on its review, the results of interviews with the candidate and all other available information. The Board makes the final decision on whether to invite the candidate to join our Board, with such invitation being extended by the Independent Chair of the Board.</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Board Composition</w:t>
      </w:r>
    </w:p>
    <w:p>
      <w:pPr>
        <w:spacing w:after="0" w:line="101" w:lineRule="exact"/>
        <w:rPr>
          <w:sz w:val="20"/>
          <w:szCs w:val="20"/>
          <w:color w:val="auto"/>
        </w:rPr>
      </w:pPr>
    </w:p>
    <w:p>
      <w:pPr>
        <w:ind w:left="140" w:right="159"/>
        <w:spacing w:after="0" w:line="277" w:lineRule="auto"/>
        <w:rPr>
          <w:sz w:val="20"/>
          <w:szCs w:val="20"/>
          <w:color w:val="auto"/>
        </w:rPr>
      </w:pPr>
      <w:r>
        <w:rPr>
          <w:rFonts w:ascii="Arial" w:cs="Arial" w:eastAsia="Arial" w:hAnsi="Arial"/>
          <w:sz w:val="16"/>
          <w:szCs w:val="16"/>
          <w:color w:val="auto"/>
        </w:rPr>
        <w:t>The Corporate Governance, Nominating and Sustainability Committee periodically reviews the skills and experiences of our current Board to determine whether the addition of directors with particular experience and skills would make our Board more effective. In conducting its evaluation of potential Board candidates, the Corporate Governance, Nominating and Sustainability Committee and the Board consider many factors, with no single factor being determinative or required. Rather, the Corporate Governance, Nominating and Sustainability Committee and the Board weigh all relevant considerations to determine whether the candidate will effectively interact with and contribute to the Board in a collaborative and collegial manner. Specific qualifications considered include: skills and experience, professional and work history; educational background and degrees earned; financial acumen and qualifications as a “financial expert” under the SEC standards; scope of business experience, including size and complexity of organizations run by the candidate, P&amp;L responsibility and international business experience; breadth of experience in the financial technology, financial services, or related industries; the candidate’s diversity of skills and experience; ability to satisfy New York Stock Exchange (“NYSE”) independence standards; and availability and willingness to commit the necessary time to Board service. In addition, the Committee will look for candidates who have demonstrated throughout their careers the highest personal and professional ethics, integrity, and values. Candidates must possess the experience and perspective to interact effectively with the Board on any number of commercial, financial, or strategic matters. Moreover, these candidates should demonstrate an ability to do all of this with a consultative and engaging approach that encourages active listening and constructive dialogue.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33</w:t>
      </w:r>
    </w:p>
    <w:p>
      <w:pPr>
        <w:sectPr>
          <w:pgSz w:w="11900" w:h="16838" w:orient="portrait"/>
          <w:cols w:equalWidth="0" w:num="1">
            <w:col w:w="9019"/>
          </w:cols>
          <w:pgMar w:left="1440" w:top="657" w:right="1440" w:bottom="1440" w:gutter="0" w:footer="0" w:header="0"/>
          <w:type w:val="continuous"/>
        </w:sectPr>
      </w:pPr>
    </w:p>
    <w:bookmarkStart w:id="36" w:name="page37"/>
    <w:bookmarkEnd w:id="36"/>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391"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Board Time Commitment Policy</w:t>
      </w:r>
    </w:p>
    <w:p>
      <w:pPr>
        <w:spacing w:after="0" w:line="87" w:lineRule="exact"/>
        <w:rPr>
          <w:sz w:val="20"/>
          <w:szCs w:val="20"/>
          <w:color w:val="auto"/>
        </w:rPr>
      </w:pPr>
    </w:p>
    <w:p>
      <w:pPr>
        <w:ind w:left="140" w:right="259"/>
        <w:spacing w:after="0" w:line="304" w:lineRule="auto"/>
        <w:rPr>
          <w:sz w:val="20"/>
          <w:szCs w:val="20"/>
          <w:color w:val="auto"/>
        </w:rPr>
      </w:pPr>
      <w:r>
        <w:rPr>
          <w:rFonts w:ascii="Arial" w:cs="Arial" w:eastAsia="Arial" w:hAnsi="Arial"/>
          <w:sz w:val="15"/>
          <w:szCs w:val="15"/>
          <w:color w:val="auto"/>
        </w:rPr>
        <w:t>Our Corporate Governance Guidelines provide that directors who are full-time employees of other companies should not serve on more than one public company board at a time in addition to the Company’s Board, and directors who are retired from active employment should not serve on more than three public company boards in addition to FIS’ Board. Audit Committee members should generally not serve on more than two public company audit committees in addition to FIS’ Audit Committee. The Board may, however, make exceptions to these standards if the Board believes it to be in the best interests of FIS and its shareholders and determines that such simultaneous service will not impair the ability of the director to serve effectively on our Board.</w:t>
      </w:r>
    </w:p>
    <w:p>
      <w:pPr>
        <w:spacing w:after="0" w:line="120" w:lineRule="exact"/>
        <w:rPr>
          <w:sz w:val="20"/>
          <w:szCs w:val="20"/>
          <w:color w:val="auto"/>
        </w:rPr>
      </w:pPr>
    </w:p>
    <w:p>
      <w:pPr>
        <w:ind w:left="140" w:right="199"/>
        <w:spacing w:after="0" w:line="282" w:lineRule="auto"/>
        <w:rPr>
          <w:sz w:val="20"/>
          <w:szCs w:val="20"/>
          <w:color w:val="auto"/>
        </w:rPr>
      </w:pPr>
      <w:r>
        <w:rPr>
          <w:rFonts w:ascii="Arial" w:cs="Arial" w:eastAsia="Arial" w:hAnsi="Arial"/>
          <w:sz w:val="16"/>
          <w:szCs w:val="16"/>
          <w:color w:val="auto"/>
        </w:rPr>
        <w:t>Directors are required to seek prior approval from the Independent Chair and the Chair of the Corporate Governance, Nominating and Sustainability Committee prior to accepting an offer to serve on another for-profit company board or audit committee, whether public or private. Directors should advise the Independent Chair, Chair of the Corporate Governance, Nominating and Sustainability Committee and Chief Legal Officer in advance of accepting any such offer to join another board or audit committee. The Independent Chair and the Chair of the Corporate Governance, Nominating and Sustainability Committee will promptly review any request to join another board or audit committee with assistance and advice from the Chief Legal Officer, and will determine whether to permit or deny the additional service.</w:t>
      </w:r>
    </w:p>
    <w:p>
      <w:pPr>
        <w:spacing w:after="0" w:line="120" w:lineRule="exact"/>
        <w:rPr>
          <w:sz w:val="20"/>
          <w:szCs w:val="20"/>
          <w:color w:val="auto"/>
        </w:rPr>
      </w:pPr>
    </w:p>
    <w:p>
      <w:pPr>
        <w:ind w:left="140" w:right="299"/>
        <w:spacing w:after="0" w:line="321" w:lineRule="auto"/>
        <w:rPr>
          <w:sz w:val="20"/>
          <w:szCs w:val="20"/>
          <w:color w:val="auto"/>
        </w:rPr>
      </w:pPr>
      <w:r>
        <w:rPr>
          <w:rFonts w:ascii="Arial" w:cs="Arial" w:eastAsia="Arial" w:hAnsi="Arial"/>
          <w:sz w:val="16"/>
          <w:szCs w:val="16"/>
          <w:color w:val="auto"/>
        </w:rPr>
        <w:t>Our Corporate Governance, Nominating, and Sustainability Committee periodically evaluates director time commitments according to the aforementioned policies and processes; all of our directors are currently in compliance.</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Mandatory Retirement Age Policy</w:t>
      </w:r>
    </w:p>
    <w:p>
      <w:pPr>
        <w:spacing w:after="0" w:line="101" w:lineRule="exact"/>
        <w:rPr>
          <w:sz w:val="20"/>
          <w:szCs w:val="20"/>
          <w:color w:val="auto"/>
        </w:rPr>
      </w:pPr>
    </w:p>
    <w:p>
      <w:pPr>
        <w:ind w:left="140" w:right="259"/>
        <w:spacing w:after="0" w:line="304" w:lineRule="auto"/>
        <w:rPr>
          <w:sz w:val="20"/>
          <w:szCs w:val="20"/>
          <w:color w:val="auto"/>
        </w:rPr>
      </w:pPr>
      <w:r>
        <w:rPr>
          <w:rFonts w:ascii="Arial" w:cs="Arial" w:eastAsia="Arial" w:hAnsi="Arial"/>
          <w:sz w:val="16"/>
          <w:szCs w:val="16"/>
          <w:color w:val="auto"/>
        </w:rPr>
        <w:t>To enhance Board refreshment, our Board has adopted a mandatory retirement age of 75 for directors, which is reflected in the Corporate Governance Guidelines.</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Director Onboarding and Continuing Education</w:t>
      </w:r>
    </w:p>
    <w:p>
      <w:pPr>
        <w:spacing w:after="0" w:line="87" w:lineRule="exact"/>
        <w:rPr>
          <w:sz w:val="20"/>
          <w:szCs w:val="20"/>
          <w:color w:val="auto"/>
        </w:rPr>
      </w:pPr>
    </w:p>
    <w:p>
      <w:pPr>
        <w:ind w:left="140" w:right="219"/>
        <w:spacing w:after="0" w:line="282" w:lineRule="auto"/>
        <w:rPr>
          <w:sz w:val="20"/>
          <w:szCs w:val="20"/>
          <w:color w:val="auto"/>
        </w:rPr>
      </w:pPr>
      <w:r>
        <w:rPr>
          <w:rFonts w:ascii="Arial" w:cs="Arial" w:eastAsia="Arial" w:hAnsi="Arial"/>
          <w:sz w:val="16"/>
          <w:szCs w:val="16"/>
          <w:color w:val="auto"/>
        </w:rPr>
        <w:t>The Corporate Governance, Nominating and Sustainability Committee has adopted guidelines to promote director continuing education. These guidelines encourage directors to attend director education programs as they deem appropriate to stay abreast of developments in corporate governance, the industry in which FIS participates, and best practices relevant to their contribution to the Board generally, as well as to their responsibilities in their specific committee assignments. Directors share with their fellow Board members on a quarterly basis any insights, observations, or conclusions that may have been derived from relevant director education programs. In addition, the Company provides educational opportunities for directors during regularly scheduled Board meetings and provides access to third-party educational programs. Finally, the Company provides periodic updates to the Board on key governance topics.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Our Board and Committee Evaluation Process</w:t>
      </w:r>
    </w:p>
    <w:p>
      <w:pPr>
        <w:spacing w:after="0" w:line="101" w:lineRule="exact"/>
        <w:rPr>
          <w:sz w:val="20"/>
          <w:szCs w:val="20"/>
          <w:color w:val="auto"/>
        </w:rPr>
      </w:pPr>
    </w:p>
    <w:p>
      <w:pPr>
        <w:ind w:left="140" w:right="139"/>
        <w:spacing w:after="0" w:line="279" w:lineRule="auto"/>
        <w:rPr>
          <w:sz w:val="20"/>
          <w:szCs w:val="20"/>
          <w:color w:val="auto"/>
        </w:rPr>
      </w:pPr>
      <w:r>
        <w:rPr>
          <w:rFonts w:ascii="Arial" w:cs="Arial" w:eastAsia="Arial" w:hAnsi="Arial"/>
          <w:sz w:val="16"/>
          <w:szCs w:val="16"/>
          <w:color w:val="auto"/>
        </w:rPr>
        <w:t>The Corporate Governance, Nominating and Sustainability Committee oversees the annual evaluation of the Board and of each committee. In 2025, each director completed a tailored self-evaluation form, providing anonymous input regarding the leadership, performance and effectiveness of each committee on which the director serves, as further described below and participated in a one-on-one open-ended interview with a third party legal advisor for the Board assessment. Results of each interview were consolidated and presented at the Board meeting without attribution to any individual director. The Independent Chair of the Board and the chair of each committee received the results of the annual written evaluations for the applicable committee on which they serve. Each committee chair reviewed that committee’s results with that committee.</w:t>
      </w:r>
    </w:p>
    <w:p>
      <w:pPr>
        <w:spacing w:after="0" w:line="136" w:lineRule="exact"/>
        <w:rPr>
          <w:sz w:val="20"/>
          <w:szCs w:val="20"/>
          <w:color w:val="auto"/>
        </w:rPr>
      </w:pPr>
    </w:p>
    <w:p>
      <w:pPr>
        <w:ind w:left="140" w:right="139"/>
        <w:spacing w:after="0" w:line="292" w:lineRule="auto"/>
        <w:rPr>
          <w:sz w:val="20"/>
          <w:szCs w:val="20"/>
          <w:color w:val="auto"/>
        </w:rPr>
      </w:pPr>
      <w:r>
        <w:rPr>
          <w:rFonts w:ascii="Arial" w:cs="Arial" w:eastAsia="Arial" w:hAnsi="Arial"/>
          <w:sz w:val="16"/>
          <w:szCs w:val="16"/>
          <w:color w:val="auto"/>
        </w:rPr>
        <w:t>The Chair of the Corporate Governance, Nominating and Sustainability Committee reviewed and discussed the results and feedback from the Board interviews and committee written evaluation forms with each director. This process has been successful in evaluating the effectiveness of our Board and committees and identifying areas to improve our Board.</w:t>
      </w:r>
    </w:p>
    <w:p>
      <w:pPr>
        <w:spacing w:after="0" w:line="125" w:lineRule="exact"/>
        <w:rPr>
          <w:sz w:val="20"/>
          <w:szCs w:val="20"/>
          <w:color w:val="auto"/>
        </w:rPr>
      </w:pPr>
    </w:p>
    <w:p>
      <w:pPr>
        <w:ind w:left="140" w:right="179"/>
        <w:spacing w:after="0" w:line="298" w:lineRule="auto"/>
        <w:rPr>
          <w:sz w:val="20"/>
          <w:szCs w:val="20"/>
          <w:color w:val="auto"/>
        </w:rPr>
      </w:pPr>
      <w:r>
        <w:rPr>
          <w:rFonts w:ascii="Arial" w:cs="Arial" w:eastAsia="Arial" w:hAnsi="Arial"/>
          <w:sz w:val="15"/>
          <w:szCs w:val="15"/>
          <w:color w:val="auto"/>
        </w:rPr>
        <w:t>In addition, the Corporate Governance, Nominating and Sustainability Committee periodically assesses the collective skills and experiences of our Board, comparing a Board skills matrix to the Company’s long-term strategy and the anticipated tenure of each director to identify potential areas of need on the Board in both the short term and long term. The Corporate Governance, Nominating and Sustainability Committee makes recommendations to our Board regarding its size, composition and structure based on this assessment. In determining whether to nominate an incumbent director for re-election, the Corporate Governance, Nominating and Sustainability Committee evaluates each incumbent director and director candidate in light of the committee’s assessment of the talents, skills and other characteristics needed to enhance the effectiveness of the Board. This process is both annual and continuous, with the Independent Chair of the Board and the Chair of the Corporate Governance, Nominating and Sustainability Committee addressing concerns, as they may arise, with regard to director performance or capacity.</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620" w:hanging="429"/>
        <w:spacing w:after="0"/>
        <w:tabs>
          <w:tab w:leader="none" w:pos="620" w:val="left"/>
        </w:tabs>
        <w:numPr>
          <w:ilvl w:val="0"/>
          <w:numId w:val="49"/>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37" w:name="page38"/>
    <w:bookmarkEnd w:id="37"/>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15" w:lineRule="exact"/>
        <w:rPr>
          <w:sz w:val="20"/>
          <w:szCs w:val="20"/>
          <w:color w:val="auto"/>
        </w:rPr>
      </w:pPr>
    </w:p>
    <w:p>
      <w:pPr>
        <w:ind w:left="140" w:right="179"/>
        <w:spacing w:after="0" w:line="313" w:lineRule="auto"/>
        <w:rPr>
          <w:sz w:val="20"/>
          <w:szCs w:val="20"/>
          <w:color w:val="auto"/>
        </w:rPr>
      </w:pPr>
      <w:r>
        <w:rPr>
          <w:rFonts w:ascii="Arial" w:cs="Arial" w:eastAsia="Arial" w:hAnsi="Arial"/>
          <w:sz w:val="15"/>
          <w:szCs w:val="15"/>
          <w:color w:val="auto"/>
        </w:rPr>
        <w:t>Separately, the Chair of the Corporate Governance, Nominating and Sustainability Committee, the Independent Chair of the Board, and the Chief Legal and Corporate Affairs Officer and Corporate Secretary each routinely communicate with our Board members and receive current feedback regarding Board and committee effectiveness. This continuous feedback, along with the evaluation process and assessment discussed above, helps ensure the continued effectiveness of the Board.</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Our 2026 Shareholder Engagement Program</w:t>
      </w:r>
    </w:p>
    <w:p>
      <w:pPr>
        <w:spacing w:after="0" w:line="107" w:lineRule="exact"/>
        <w:rPr>
          <w:sz w:val="20"/>
          <w:szCs w:val="20"/>
          <w:color w:val="auto"/>
        </w:rPr>
      </w:pPr>
    </w:p>
    <w:p>
      <w:pPr>
        <w:ind w:left="140" w:right="159"/>
        <w:spacing w:after="0" w:line="289" w:lineRule="auto"/>
        <w:rPr>
          <w:sz w:val="20"/>
          <w:szCs w:val="20"/>
          <w:color w:val="auto"/>
        </w:rPr>
      </w:pPr>
      <w:r>
        <w:rPr>
          <w:rFonts w:ascii="Arial" w:cs="Arial" w:eastAsia="Arial" w:hAnsi="Arial"/>
          <w:sz w:val="16"/>
          <w:szCs w:val="16"/>
          <w:color w:val="auto"/>
        </w:rPr>
        <w:t xml:space="preserve">Shareholder engagement is a year-round process at FIS. In early 2026, we offered engagement meetings to shareholders representing collectively more than 40% of our outstanding shares, </w:t>
      </w:r>
      <w:r>
        <w:rPr>
          <w:rFonts w:ascii="Arial" w:cs="Arial" w:eastAsia="Arial" w:hAnsi="Arial"/>
          <w:sz w:val="16"/>
          <w:szCs w:val="16"/>
          <w:color w:val="auto"/>
          <w:highlight w:val="white"/>
        </w:rPr>
        <w:t>and members of our management team and our</w:t>
      </w:r>
      <w:r>
        <w:rPr>
          <w:rFonts w:ascii="Arial" w:cs="Arial" w:eastAsia="Arial" w:hAnsi="Arial"/>
          <w:sz w:val="16"/>
          <w:szCs w:val="16"/>
          <w:color w:val="auto"/>
        </w:rPr>
        <w:t xml:space="preserve"> </w:t>
      </w:r>
      <w:r>
        <w:rPr>
          <w:rFonts w:ascii="Arial" w:cs="Arial" w:eastAsia="Arial" w:hAnsi="Arial"/>
          <w:sz w:val="16"/>
          <w:szCs w:val="16"/>
          <w:color w:val="auto"/>
          <w:highlight w:val="white"/>
        </w:rPr>
        <w:t>Independent Chair met with all shareholders who accepted our offer to engage. Many of the shareholders to whom we offered engagement meetings replied that they had no concerns or questions that they wanted to discuss.</w:t>
      </w:r>
    </w:p>
    <w:p>
      <w:pPr>
        <w:spacing w:after="0" w:line="126" w:lineRule="exact"/>
        <w:rPr>
          <w:sz w:val="20"/>
          <w:szCs w:val="20"/>
          <w:color w:val="auto"/>
        </w:rPr>
      </w:pPr>
    </w:p>
    <w:p>
      <w:pPr>
        <w:ind w:left="140" w:right="219"/>
        <w:spacing w:after="0" w:line="282" w:lineRule="auto"/>
        <w:rPr>
          <w:sz w:val="20"/>
          <w:szCs w:val="20"/>
          <w:color w:val="auto"/>
        </w:rPr>
      </w:pPr>
      <w:r>
        <w:rPr>
          <w:rFonts w:ascii="Arial" w:cs="Arial" w:eastAsia="Arial" w:hAnsi="Arial"/>
          <w:sz w:val="16"/>
          <w:szCs w:val="16"/>
          <w:color w:val="auto"/>
        </w:rPr>
        <w:t>In order to establish a direct dialogue between our shareholders and our Board, our engagement program included the participation of Jeffrey Goldstein, our Independent Chair and member of our Compensation Committee and Corporate Governance, Nominating and Sustainability Committee. Mr. Goldstein was joined by members of our senior management team, including our Executive Vice President – Chief People Officer, Senior Vice President – Head of Investor Relations, Deputy General Counsel and Assistant Corporate Secretary, and Vice President of Corporate Affairs and Sustainability.</w:t>
      </w:r>
    </w:p>
    <w:p>
      <w:pPr>
        <w:spacing w:after="0" w:line="134"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 xml:space="preserve">Our engagement program focused on our progress in </w:t>
      </w:r>
      <w:r>
        <w:rPr>
          <w:rFonts w:ascii="Arial" w:cs="Arial" w:eastAsia="Arial" w:hAnsi="Arial"/>
          <w:sz w:val="16"/>
          <w:szCs w:val="16"/>
          <w:color w:val="auto"/>
          <w:highlight w:val="white"/>
        </w:rPr>
        <w:t>executing on our strategic vision; refocusing and simplifying our</w:t>
      </w:r>
      <w:r>
        <w:rPr>
          <w:rFonts w:ascii="Arial" w:cs="Arial" w:eastAsia="Arial" w:hAnsi="Arial"/>
          <w:sz w:val="16"/>
          <w:szCs w:val="16"/>
          <w:color w:val="auto"/>
        </w:rPr>
        <w:t xml:space="preserve"> </w:t>
      </w:r>
      <w:r>
        <w:rPr>
          <w:rFonts w:ascii="Arial" w:cs="Arial" w:eastAsia="Arial" w:hAnsi="Arial"/>
          <w:sz w:val="16"/>
          <w:szCs w:val="16"/>
          <w:color w:val="auto"/>
          <w:highlight w:val="white"/>
        </w:rPr>
        <w:t>business, improving our client-centricity, deploying AI, and strengthening our financial position, including through the acquisition of the FIS Total Issuing Solutions business and the sale of our remaining equity interest in Worldpay to Global Payments; Board refreshment, including the appointment of three new independent directors since 2024; Board oversight of key subject matters, including strategy, capital allocation, AI and succession planning; and adjustments we made to our executive compensation program in 2025.</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Contacting the Board</w:t>
      </w:r>
    </w:p>
    <w:p>
      <w:pPr>
        <w:spacing w:after="0" w:line="107" w:lineRule="exact"/>
        <w:rPr>
          <w:sz w:val="20"/>
          <w:szCs w:val="20"/>
          <w:color w:val="auto"/>
        </w:rPr>
      </w:pPr>
    </w:p>
    <w:p>
      <w:pPr>
        <w:ind w:left="140" w:right="519"/>
        <w:spacing w:after="0" w:line="289" w:lineRule="auto"/>
        <w:rPr>
          <w:sz w:val="20"/>
          <w:szCs w:val="20"/>
          <w:color w:val="auto"/>
        </w:rPr>
      </w:pPr>
      <w:r>
        <w:rPr>
          <w:rFonts w:ascii="Arial" w:cs="Arial" w:eastAsia="Arial" w:hAnsi="Arial"/>
          <w:sz w:val="16"/>
          <w:szCs w:val="16"/>
          <w:color w:val="auto"/>
        </w:rPr>
        <w:t>Any shareholder or other interested person who desires to contact any member of our Board may do so by writing to: Board of Directors, c/o Corporate Secretary, Fidelity National Information Services, Inc., 347 Riverside Avenue, Jacksonville, Florida 32202. Communications received are distributed by the Corporate Secretary to the appropriate member or members of our Board.</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Board Leadership Structure</w:t>
      </w:r>
    </w:p>
    <w:p>
      <w:pPr>
        <w:spacing w:after="0" w:line="107" w:lineRule="exact"/>
        <w:rPr>
          <w:sz w:val="20"/>
          <w:szCs w:val="20"/>
          <w:color w:val="auto"/>
        </w:rPr>
      </w:pPr>
    </w:p>
    <w:p>
      <w:pPr>
        <w:ind w:left="140" w:right="379"/>
        <w:spacing w:after="0" w:line="321" w:lineRule="auto"/>
        <w:rPr>
          <w:sz w:val="20"/>
          <w:szCs w:val="20"/>
          <w:color w:val="auto"/>
        </w:rPr>
      </w:pPr>
      <w:r>
        <w:rPr>
          <w:rFonts w:ascii="Arial" w:cs="Arial" w:eastAsia="Arial" w:hAnsi="Arial"/>
          <w:sz w:val="16"/>
          <w:szCs w:val="16"/>
          <w:color w:val="auto"/>
        </w:rPr>
        <w:t>Our Board is led by Mr. Goldstein, who serves as the Independent Chair of the Board. Ms. Ferris is our Chief Executive Officer and President.</w:t>
      </w:r>
    </w:p>
    <w:p>
      <w:pPr>
        <w:spacing w:after="0" w:line="88" w:lineRule="exact"/>
        <w:rPr>
          <w:sz w:val="20"/>
          <w:szCs w:val="20"/>
          <w:color w:val="auto"/>
        </w:rPr>
      </w:pPr>
    </w:p>
    <w:p>
      <w:pPr>
        <w:ind w:left="140" w:right="159"/>
        <w:spacing w:after="0" w:line="278" w:lineRule="auto"/>
        <w:rPr>
          <w:sz w:val="20"/>
          <w:szCs w:val="20"/>
          <w:color w:val="auto"/>
        </w:rPr>
      </w:pPr>
      <w:r>
        <w:rPr>
          <w:rFonts w:ascii="Arial" w:cs="Arial" w:eastAsia="Arial" w:hAnsi="Arial"/>
          <w:sz w:val="16"/>
          <w:szCs w:val="16"/>
          <w:color w:val="auto"/>
        </w:rPr>
        <w:t>The Board believes that, in the Company’s current circumstances, having separate individuals serve in the roles of Independent Chair of the Board and of Chief Executive Officer is in the best interests of the Company and its shareholders. The Independent Board Chair structure allows Mr. Goldstein to provide independent Board leadership and oversight to the Board to define its structure, membership and activities in the fulfillment of its responsibilities. In addition, the structure allows Mr. Goldstein to represent the Board in communications with, and act as a point of contact for, the Company’s shareholders. As our CEO, Ms. Ferris is responsible for setting the Company’s strategic direction and day-to-day leadership and performance of our Company, but the Independent Chair may recommend that the Board review and consider certain matters, as needed. We believe this arrangement assists in ensuring that the Board makes objective decisions and provides a structure in which the perspectives of management and the Company’s shareholders and other stakeholders are given appropriate consideration. The Board periodically reviews its leadership structure and its appropriateness given the needs of the Board and the Company at such time.</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Board has developed a robust set of responsibilities for the Independent Chair, including:</w:t>
      </w:r>
    </w:p>
    <w:p>
      <w:pPr>
        <w:spacing w:after="0" w:line="194" w:lineRule="exact"/>
        <w:rPr>
          <w:sz w:val="20"/>
          <w:szCs w:val="20"/>
          <w:color w:val="auto"/>
        </w:rPr>
      </w:pPr>
    </w:p>
    <w:p>
      <w:pPr>
        <w:ind w:left="320" w:hanging="190"/>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Chairing all regular and special meetings and executive sessions of the Board;</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Providing leadership and direction to the Board as to how the Board operates;</w:t>
      </w:r>
    </w:p>
    <w:p>
      <w:pPr>
        <w:spacing w:after="0" w:line="86" w:lineRule="exact"/>
        <w:rPr>
          <w:rFonts w:ascii="Arial" w:cs="Arial" w:eastAsia="Arial" w:hAnsi="Arial"/>
          <w:sz w:val="16"/>
          <w:szCs w:val="16"/>
          <w:color w:val="auto"/>
        </w:rPr>
      </w:pPr>
    </w:p>
    <w:p>
      <w:pPr>
        <w:ind w:left="320" w:right="139" w:hanging="190"/>
        <w:spacing w:after="0" w:line="292"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coordination with the CEO and, as appropriate, the committee chairs, scheduling Board and committee meetings and executive sessions, developing and approving agendas, and defining the scope and timeliness of information provided to the Board;</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35</w:t>
      </w:r>
    </w:p>
    <w:p>
      <w:pPr>
        <w:sectPr>
          <w:pgSz w:w="11900" w:h="16838" w:orient="portrait"/>
          <w:cols w:equalWidth="0" w:num="1">
            <w:col w:w="9019"/>
          </w:cols>
          <w:pgMar w:left="1440" w:top="657" w:right="1440" w:bottom="1440" w:gutter="0" w:footer="0" w:header="0"/>
          <w:type w:val="continuous"/>
        </w:sectPr>
      </w:pPr>
    </w:p>
    <w:bookmarkStart w:id="38" w:name="page39"/>
    <w:bookmarkEnd w:id="38"/>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15" w:lineRule="exact"/>
        <w:rPr>
          <w:sz w:val="20"/>
          <w:szCs w:val="20"/>
          <w:color w:val="auto"/>
        </w:rPr>
      </w:pPr>
    </w:p>
    <w:p>
      <w:pPr>
        <w:ind w:left="320" w:hanging="190"/>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Coordinating feedback to the CEO regarding issues discussed in executive sessions;</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Facilitating communications between directors, committee chairs, the CEO and other senior management;</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Providing advice and counsel to the CEO and other senior management;</w:t>
      </w:r>
    </w:p>
    <w:p>
      <w:pPr>
        <w:spacing w:after="0" w:line="86" w:lineRule="exact"/>
        <w:rPr>
          <w:rFonts w:ascii="Arial" w:cs="Arial" w:eastAsia="Arial" w:hAnsi="Arial"/>
          <w:sz w:val="16"/>
          <w:szCs w:val="16"/>
          <w:color w:val="auto"/>
        </w:rPr>
      </w:pPr>
    </w:p>
    <w:p>
      <w:pPr>
        <w:ind w:left="320" w:right="299" w:hanging="190"/>
        <w:spacing w:after="0" w:line="304"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Acting as a spokesperson for the Board in circumstances where it is appropriate for the Board to have a voice distinct from that of management;</w:t>
      </w:r>
    </w:p>
    <w:p>
      <w:pPr>
        <w:spacing w:after="0" w:line="6" w:lineRule="exact"/>
        <w:rPr>
          <w:rFonts w:ascii="Arial" w:cs="Arial" w:eastAsia="Arial" w:hAnsi="Arial"/>
          <w:sz w:val="16"/>
          <w:szCs w:val="16"/>
          <w:color w:val="auto"/>
        </w:rPr>
      </w:pPr>
    </w:p>
    <w:p>
      <w:pPr>
        <w:ind w:left="320" w:right="1239" w:hanging="190"/>
        <w:spacing w:after="0" w:line="308"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Assisting the Corporate Governance, Nominating and Sustainability Committee in the nomination of new Board members;</w:t>
      </w:r>
    </w:p>
    <w:p>
      <w:pPr>
        <w:ind w:left="320" w:hanging="190"/>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Assisting the Compensation Committee with the annual performance evaluation of the CEO;</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Serving as the Chair of the Executive Committee of the Board; and</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Presiding at all annual and special meetings of shareholders.</w:t>
      </w:r>
    </w:p>
    <w:p>
      <w:pPr>
        <w:spacing w:after="0" w:line="218"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Director Independence</w:t>
      </w:r>
    </w:p>
    <w:p>
      <w:pPr>
        <w:spacing w:after="0" w:line="107" w:lineRule="exact"/>
        <w:rPr>
          <w:sz w:val="20"/>
          <w:szCs w:val="20"/>
          <w:color w:val="auto"/>
        </w:rPr>
      </w:pPr>
    </w:p>
    <w:p>
      <w:pPr>
        <w:ind w:left="140" w:right="179"/>
        <w:spacing w:after="0" w:line="289" w:lineRule="auto"/>
        <w:rPr>
          <w:sz w:val="20"/>
          <w:szCs w:val="20"/>
          <w:color w:val="auto"/>
        </w:rPr>
      </w:pPr>
      <w:r>
        <w:rPr>
          <w:rFonts w:ascii="Arial" w:cs="Arial" w:eastAsia="Arial" w:hAnsi="Arial"/>
          <w:sz w:val="16"/>
          <w:szCs w:val="16"/>
          <w:color w:val="auto"/>
        </w:rPr>
        <w:t>Section 303A.02 of the NYSE Listing Standards, as approved by the SEC, sets the standard by which directors of publicly traded companies listed with the NYSE shall be deemed independent. Pursuant to Section 303A.02 and our Corporate Governance Guidelines, the Board has determined that each of the directors and each nominee is independent, other than Ms. Ferris due to her employment with the Company.</w:t>
      </w:r>
    </w:p>
    <w:p>
      <w:pPr>
        <w:spacing w:after="0" w:line="113" w:lineRule="exact"/>
        <w:rPr>
          <w:sz w:val="20"/>
          <w:szCs w:val="20"/>
          <w:color w:val="auto"/>
        </w:rPr>
      </w:pPr>
    </w:p>
    <w:p>
      <w:pPr>
        <w:ind w:left="140" w:right="459"/>
        <w:spacing w:after="0" w:line="292" w:lineRule="auto"/>
        <w:rPr>
          <w:sz w:val="20"/>
          <w:szCs w:val="20"/>
          <w:color w:val="auto"/>
        </w:rPr>
      </w:pPr>
      <w:r>
        <w:rPr>
          <w:rFonts w:ascii="Arial" w:cs="Arial" w:eastAsia="Arial" w:hAnsi="Arial"/>
          <w:sz w:val="16"/>
          <w:szCs w:val="16"/>
          <w:color w:val="auto"/>
        </w:rPr>
        <w:t>In addition to the Board-level standards for director independence, each member of the Audit Committee and each member of the Compensation Committee meets the heightened independence standards required for such committee members under the NYSE’s listing standards.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Committees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0"/>
        <w:spacing w:after="0"/>
        <w:tabs>
          <w:tab w:leader="none" w:pos="2160" w:val="left"/>
          <w:tab w:leader="none" w:pos="4060" w:val="left"/>
          <w:tab w:leader="none" w:pos="5900" w:val="left"/>
          <w:tab w:leader="none" w:pos="7600" w:val="left"/>
        </w:tabs>
        <w:rPr>
          <w:sz w:val="20"/>
          <w:szCs w:val="20"/>
          <w:color w:val="auto"/>
        </w:rPr>
      </w:pPr>
      <w:r>
        <w:rPr>
          <w:rFonts w:ascii="Arial" w:cs="Arial" w:eastAsia="Arial" w:hAnsi="Arial"/>
          <w:sz w:val="16"/>
          <w:szCs w:val="16"/>
          <w:b w:val="1"/>
          <w:bCs w:val="1"/>
          <w:color w:val="431C5B"/>
        </w:rPr>
        <w:t>Audit</w:t>
      </w:r>
      <w:r>
        <w:rPr>
          <w:sz w:val="20"/>
          <w:szCs w:val="20"/>
          <w:color w:val="auto"/>
        </w:rPr>
        <w:tab/>
      </w:r>
      <w:r>
        <w:rPr>
          <w:rFonts w:ascii="Arial" w:cs="Arial" w:eastAsia="Arial" w:hAnsi="Arial"/>
          <w:sz w:val="16"/>
          <w:szCs w:val="16"/>
          <w:b w:val="1"/>
          <w:bCs w:val="1"/>
          <w:color w:val="431C5B"/>
        </w:rPr>
        <w:t>Compensation</w:t>
      </w:r>
      <w:r>
        <w:rPr>
          <w:sz w:val="20"/>
          <w:szCs w:val="20"/>
          <w:color w:val="auto"/>
        </w:rPr>
        <w:tab/>
      </w:r>
      <w:r>
        <w:rPr>
          <w:rFonts w:ascii="Arial" w:cs="Arial" w:eastAsia="Arial" w:hAnsi="Arial"/>
          <w:sz w:val="16"/>
          <w:szCs w:val="16"/>
          <w:b w:val="1"/>
          <w:bCs w:val="1"/>
          <w:color w:val="431C5B"/>
        </w:rPr>
        <w:t>Corporate,</w:t>
      </w:r>
      <w:r>
        <w:rPr>
          <w:sz w:val="20"/>
          <w:szCs w:val="20"/>
          <w:color w:val="auto"/>
        </w:rPr>
        <w:tab/>
      </w:r>
      <w:r>
        <w:rPr>
          <w:rFonts w:ascii="Arial" w:cs="Arial" w:eastAsia="Arial" w:hAnsi="Arial"/>
          <w:sz w:val="16"/>
          <w:szCs w:val="16"/>
          <w:b w:val="1"/>
          <w:bCs w:val="1"/>
          <w:color w:val="431C5B"/>
        </w:rPr>
        <w:t>Risk and</w:t>
      </w:r>
      <w:r>
        <w:rPr>
          <w:sz w:val="20"/>
          <w:szCs w:val="20"/>
          <w:color w:val="auto"/>
        </w:rPr>
        <w:tab/>
      </w:r>
      <w:r>
        <w:rPr>
          <w:rFonts w:ascii="Arial" w:cs="Arial" w:eastAsia="Arial" w:hAnsi="Arial"/>
          <w:sz w:val="16"/>
          <w:szCs w:val="16"/>
          <w:b w:val="1"/>
          <w:bCs w:val="1"/>
          <w:color w:val="431C5B"/>
        </w:rPr>
        <w:t>Executive</w:t>
      </w:r>
    </w:p>
    <w:p>
      <w:pPr>
        <w:spacing w:after="0" w:line="39" w:lineRule="exact"/>
        <w:rPr>
          <w:sz w:val="20"/>
          <w:szCs w:val="20"/>
          <w:color w:val="auto"/>
        </w:rPr>
      </w:pPr>
    </w:p>
    <w:p>
      <w:pPr>
        <w:ind w:left="4000"/>
        <w:spacing w:after="0"/>
        <w:tabs>
          <w:tab w:leader="none" w:pos="5780" w:val="left"/>
        </w:tabs>
        <w:rPr>
          <w:sz w:val="20"/>
          <w:szCs w:val="20"/>
          <w:color w:val="auto"/>
        </w:rPr>
      </w:pPr>
      <w:r>
        <w:rPr>
          <w:rFonts w:ascii="Arial" w:cs="Arial" w:eastAsia="Arial" w:hAnsi="Arial"/>
          <w:sz w:val="16"/>
          <w:szCs w:val="16"/>
          <w:b w:val="1"/>
          <w:bCs w:val="1"/>
          <w:color w:val="431C5B"/>
        </w:rPr>
        <w:t>Governance,</w:t>
      </w:r>
      <w:r>
        <w:rPr>
          <w:sz w:val="20"/>
          <w:szCs w:val="20"/>
          <w:color w:val="auto"/>
        </w:rPr>
        <w:tab/>
      </w:r>
      <w:r>
        <w:rPr>
          <w:rFonts w:ascii="Arial" w:cs="Arial" w:eastAsia="Arial" w:hAnsi="Arial"/>
          <w:sz w:val="16"/>
          <w:szCs w:val="16"/>
          <w:b w:val="1"/>
          <w:bCs w:val="1"/>
          <w:color w:val="431C5B"/>
        </w:rPr>
        <w:t>Technology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431C5B"/>
        </w:rPr>
        <w:t>Nominating and</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431C5B"/>
        </w:rPr>
        <w:t>Sustainability</w:t>
      </w:r>
    </w:p>
    <w:p>
      <w:pPr>
        <w:spacing w:after="0" w:line="300" w:lineRule="exact"/>
        <w:rPr>
          <w:sz w:val="20"/>
          <w:szCs w:val="20"/>
          <w:color w:val="auto"/>
        </w:rPr>
      </w:pPr>
    </w:p>
    <w:p>
      <w:pPr>
        <w:ind w:left="140" w:right="359"/>
        <w:spacing w:after="0" w:line="301" w:lineRule="auto"/>
        <w:rPr>
          <w:sz w:val="20"/>
          <w:szCs w:val="20"/>
          <w:color w:val="auto"/>
        </w:rPr>
      </w:pPr>
      <w:r>
        <w:rPr>
          <w:rFonts w:ascii="Arial" w:cs="Arial" w:eastAsia="Arial" w:hAnsi="Arial"/>
          <w:sz w:val="16"/>
          <w:szCs w:val="16"/>
          <w:color w:val="auto"/>
        </w:rPr>
        <w:t xml:space="preserve">The charters of all committees are available on the governance section of our website at </w:t>
      </w:r>
      <w:r>
        <w:rPr>
          <w:rFonts w:ascii="Arial" w:cs="Arial" w:eastAsia="Arial" w:hAnsi="Arial"/>
          <w:sz w:val="16"/>
          <w:szCs w:val="16"/>
          <w:b w:val="1"/>
          <w:bCs w:val="1"/>
          <w:color w:val="431C5B"/>
        </w:rPr>
        <w:t>www.investor.fisglobal.com</w:t>
      </w:r>
      <w:r>
        <w:rPr>
          <w:rFonts w:ascii="Arial" w:cs="Arial" w:eastAsia="Arial" w:hAnsi="Arial"/>
          <w:sz w:val="16"/>
          <w:szCs w:val="16"/>
          <w:color w:val="auto"/>
        </w:rPr>
        <w:t>. Shareholders also may obtain a copy of any of these charters by writing to the Corporate Secretary at the address set forth under “Available Information” on page 96.</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429"/>
        <w:spacing w:after="0"/>
        <w:tabs>
          <w:tab w:leader="none" w:pos="620" w:val="left"/>
        </w:tabs>
        <w:numPr>
          <w:ilvl w:val="0"/>
          <w:numId w:val="52"/>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39" w:name="page40"/>
    <w:bookmarkEnd w:id="39"/>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391"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Committee Composition (as of April 13, 2026)</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24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700" w:type="dxa"/>
            <w:vAlign w:val="bottom"/>
            <w:tcBorders>
              <w:bottom w:val="single" w:sz="8" w:color="431C5B"/>
            </w:tcBorders>
          </w:tcPr>
          <w:p>
            <w:pPr>
              <w:ind w:left="260"/>
              <w:spacing w:after="0"/>
              <w:rPr>
                <w:sz w:val="20"/>
                <w:szCs w:val="20"/>
                <w:color w:val="auto"/>
              </w:rPr>
            </w:pPr>
            <w:r>
              <w:rPr>
                <w:rFonts w:ascii="Arial" w:cs="Arial" w:eastAsia="Arial" w:hAnsi="Arial"/>
                <w:sz w:val="14"/>
                <w:szCs w:val="14"/>
                <w:b w:val="1"/>
                <w:bCs w:val="1"/>
                <w:color w:val="431C5B"/>
              </w:rPr>
              <w:t>AC</w:t>
            </w:r>
          </w:p>
        </w:tc>
        <w:tc>
          <w:tcPr>
            <w:tcW w:w="640" w:type="dxa"/>
            <w:vAlign w:val="bottom"/>
            <w:tcBorders>
              <w:bottom w:val="single" w:sz="8" w:color="431C5B"/>
            </w:tcBorders>
          </w:tcPr>
          <w:p>
            <w:pPr>
              <w:jc w:val="center"/>
              <w:ind w:left="4"/>
              <w:spacing w:after="0"/>
              <w:rPr>
                <w:sz w:val="20"/>
                <w:szCs w:val="20"/>
                <w:color w:val="auto"/>
              </w:rPr>
            </w:pPr>
            <w:r>
              <w:rPr>
                <w:rFonts w:ascii="Arial" w:cs="Arial" w:eastAsia="Arial" w:hAnsi="Arial"/>
                <w:sz w:val="14"/>
                <w:szCs w:val="14"/>
                <w:b w:val="1"/>
                <w:bCs w:val="1"/>
                <w:color w:val="431C5B"/>
                <w:w w:val="98"/>
              </w:rPr>
              <w:t>CC</w:t>
            </w:r>
          </w:p>
        </w:tc>
        <w:tc>
          <w:tcPr>
            <w:tcW w:w="82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CGNSC</w:t>
            </w:r>
          </w:p>
        </w:tc>
        <w:tc>
          <w:tcPr>
            <w:tcW w:w="68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RTC</w:t>
            </w:r>
          </w:p>
        </w:tc>
        <w:tc>
          <w:tcPr>
            <w:tcW w:w="68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EC</w:t>
            </w:r>
          </w:p>
        </w:tc>
      </w:tr>
      <w:tr>
        <w:trPr>
          <w:trHeight w:val="349"/>
        </w:trPr>
        <w:tc>
          <w:tcPr>
            <w:tcW w:w="524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6"/>
                <w:szCs w:val="16"/>
                <w:b w:val="1"/>
                <w:bCs w:val="1"/>
                <w:color w:val="431C5B"/>
              </w:rPr>
              <w:t>Nicole M. Anasenes</w:t>
            </w:r>
          </w:p>
        </w:tc>
        <w:tc>
          <w:tcPr>
            <w:tcW w:w="700" w:type="dxa"/>
            <w:vAlign w:val="bottom"/>
            <w:tcBorders>
              <w:bottom w:val="single" w:sz="8" w:color="EDFAEC"/>
            </w:tcBorders>
            <w:shd w:val="clear" w:color="auto" w:fill="EDFAEC"/>
          </w:tcPr>
          <w:p>
            <w:pPr>
              <w:spacing w:after="0"/>
              <w:rPr>
                <w:sz w:val="24"/>
                <w:szCs w:val="24"/>
                <w:color w:val="auto"/>
              </w:rPr>
            </w:pPr>
          </w:p>
        </w:tc>
        <w:tc>
          <w:tcPr>
            <w:tcW w:w="640" w:type="dxa"/>
            <w:vAlign w:val="bottom"/>
            <w:tcBorders>
              <w:bottom w:val="single" w:sz="8" w:color="EDFAEC"/>
            </w:tcBorders>
            <w:shd w:val="clear" w:color="auto" w:fill="EDFAEC"/>
          </w:tcPr>
          <w:p>
            <w:pPr>
              <w:spacing w:after="0"/>
              <w:rPr>
                <w:sz w:val="24"/>
                <w:szCs w:val="24"/>
                <w:color w:val="auto"/>
              </w:rPr>
            </w:pPr>
          </w:p>
        </w:tc>
        <w:tc>
          <w:tcPr>
            <w:tcW w:w="820" w:type="dxa"/>
            <w:vAlign w:val="bottom"/>
            <w:tcBorders>
              <w:bottom w:val="single" w:sz="8" w:color="EDFAEC"/>
            </w:tcBorders>
            <w:shd w:val="clear" w:color="auto" w:fill="EDFAEC"/>
          </w:tcPr>
          <w:p>
            <w:pPr>
              <w:spacing w:after="0"/>
              <w:rPr>
                <w:sz w:val="24"/>
                <w:szCs w:val="24"/>
                <w:color w:val="auto"/>
              </w:rPr>
            </w:pPr>
          </w:p>
        </w:tc>
        <w:tc>
          <w:tcPr>
            <w:tcW w:w="680" w:type="dxa"/>
            <w:vAlign w:val="bottom"/>
            <w:tcBorders>
              <w:bottom w:val="single" w:sz="8" w:color="EDFAEC"/>
            </w:tcBorders>
            <w:shd w:val="clear" w:color="auto" w:fill="EDFAEC"/>
          </w:tcPr>
          <w:p>
            <w:pPr>
              <w:spacing w:after="0"/>
              <w:rPr>
                <w:sz w:val="24"/>
                <w:szCs w:val="24"/>
                <w:color w:val="auto"/>
              </w:rPr>
            </w:pPr>
          </w:p>
        </w:tc>
        <w:tc>
          <w:tcPr>
            <w:tcW w:w="680" w:type="dxa"/>
            <w:vAlign w:val="bottom"/>
            <w:tcBorders>
              <w:bottom w:val="single" w:sz="8" w:color="EDFAEC"/>
            </w:tcBorders>
            <w:shd w:val="clear" w:color="auto" w:fill="EDFAEC"/>
          </w:tcPr>
          <w:p>
            <w:pPr>
              <w:spacing w:after="0"/>
              <w:rPr>
                <w:sz w:val="24"/>
                <w:szCs w:val="24"/>
                <w:color w:val="auto"/>
              </w:rPr>
            </w:pPr>
          </w:p>
        </w:tc>
      </w:tr>
      <w:tr>
        <w:trPr>
          <w:trHeight w:val="304"/>
        </w:trPr>
        <w:tc>
          <w:tcPr>
            <w:tcW w:w="5240" w:type="dxa"/>
            <w:vAlign w:val="bottom"/>
            <w:tcBorders>
              <w:top w:val="single" w:sz="8" w:color="B6B6B6"/>
              <w:bottom w:val="single" w:sz="8" w:color="B6B6B6"/>
            </w:tcBorders>
          </w:tcPr>
          <w:p>
            <w:pPr>
              <w:ind w:left="80"/>
              <w:spacing w:after="0"/>
              <w:rPr>
                <w:sz w:val="20"/>
                <w:szCs w:val="20"/>
                <w:color w:val="auto"/>
              </w:rPr>
            </w:pPr>
            <w:r>
              <w:rPr>
                <w:rFonts w:ascii="Arial" w:cs="Arial" w:eastAsia="Arial" w:hAnsi="Arial"/>
                <w:sz w:val="16"/>
                <w:szCs w:val="16"/>
                <w:b w:val="1"/>
                <w:bCs w:val="1"/>
                <w:color w:val="431C5B"/>
              </w:rPr>
              <w:t>Mark D. Benjamin</w:t>
            </w:r>
            <w:r>
              <w:rPr>
                <w:rFonts w:ascii="Arial" w:cs="Arial" w:eastAsia="Arial" w:hAnsi="Arial"/>
                <w:sz w:val="21"/>
                <w:szCs w:val="21"/>
                <w:b w:val="1"/>
                <w:bCs w:val="1"/>
                <w:color w:val="431C5B"/>
                <w:vertAlign w:val="superscript"/>
              </w:rPr>
              <w:t>(1)</w:t>
            </w:r>
          </w:p>
        </w:tc>
        <w:tc>
          <w:tcPr>
            <w:tcW w:w="700" w:type="dxa"/>
            <w:vAlign w:val="bottom"/>
            <w:tcBorders>
              <w:top w:val="single" w:sz="8" w:color="B6B6B6"/>
              <w:bottom w:val="single" w:sz="8" w:color="B6B6B6"/>
            </w:tcBorders>
          </w:tcPr>
          <w:p>
            <w:pPr>
              <w:spacing w:after="0"/>
              <w:rPr>
                <w:sz w:val="24"/>
                <w:szCs w:val="24"/>
                <w:color w:val="auto"/>
              </w:rPr>
            </w:pPr>
          </w:p>
        </w:tc>
        <w:tc>
          <w:tcPr>
            <w:tcW w:w="640" w:type="dxa"/>
            <w:vAlign w:val="bottom"/>
            <w:tcBorders>
              <w:top w:val="single" w:sz="8" w:color="B6B6B6"/>
              <w:bottom w:val="single" w:sz="8" w:color="B6B6B6"/>
            </w:tcBorders>
          </w:tcPr>
          <w:p>
            <w:pPr>
              <w:spacing w:after="0"/>
              <w:rPr>
                <w:sz w:val="24"/>
                <w:szCs w:val="24"/>
                <w:color w:val="auto"/>
              </w:rPr>
            </w:pPr>
          </w:p>
        </w:tc>
        <w:tc>
          <w:tcPr>
            <w:tcW w:w="820" w:type="dxa"/>
            <w:vAlign w:val="bottom"/>
            <w:tcBorders>
              <w:top w:val="single" w:sz="8" w:color="B6B6B6"/>
              <w:bottom w:val="single" w:sz="8" w:color="B6B6B6"/>
            </w:tcBorders>
          </w:tcPr>
          <w:p>
            <w:pPr>
              <w:spacing w:after="0"/>
              <w:rPr>
                <w:sz w:val="24"/>
                <w:szCs w:val="24"/>
                <w:color w:val="auto"/>
              </w:rPr>
            </w:pPr>
          </w:p>
        </w:tc>
        <w:tc>
          <w:tcPr>
            <w:tcW w:w="680" w:type="dxa"/>
            <w:vAlign w:val="bottom"/>
            <w:tcBorders>
              <w:top w:val="single" w:sz="8" w:color="B6B6B6"/>
              <w:bottom w:val="single" w:sz="8" w:color="B6B6B6"/>
            </w:tcBorders>
          </w:tcPr>
          <w:p>
            <w:pPr>
              <w:spacing w:after="0"/>
              <w:rPr>
                <w:sz w:val="24"/>
                <w:szCs w:val="24"/>
                <w:color w:val="auto"/>
              </w:rPr>
            </w:pPr>
          </w:p>
        </w:tc>
        <w:tc>
          <w:tcPr>
            <w:tcW w:w="680" w:type="dxa"/>
            <w:vAlign w:val="bottom"/>
            <w:tcBorders>
              <w:top w:val="single" w:sz="8" w:color="B6B6B6"/>
              <w:bottom w:val="single" w:sz="8" w:color="B6B6B6"/>
            </w:tcBorders>
          </w:tcPr>
          <w:p>
            <w:pPr>
              <w:spacing w:after="0"/>
              <w:rPr>
                <w:sz w:val="24"/>
                <w:szCs w:val="24"/>
                <w:color w:val="auto"/>
              </w:rPr>
            </w:pPr>
          </w:p>
        </w:tc>
      </w:tr>
      <w:tr>
        <w:trPr>
          <w:trHeight w:val="349"/>
        </w:trPr>
        <w:tc>
          <w:tcPr>
            <w:tcW w:w="524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6"/>
                <w:szCs w:val="16"/>
                <w:b w:val="1"/>
                <w:bCs w:val="1"/>
                <w:color w:val="431C5B"/>
              </w:rPr>
              <w:t>Anil Chakravarthy</w:t>
            </w:r>
          </w:p>
        </w:tc>
        <w:tc>
          <w:tcPr>
            <w:tcW w:w="700" w:type="dxa"/>
            <w:vAlign w:val="bottom"/>
            <w:tcBorders>
              <w:bottom w:val="single" w:sz="8" w:color="EDFAEC"/>
            </w:tcBorders>
            <w:shd w:val="clear" w:color="auto" w:fill="EDFAEC"/>
          </w:tcPr>
          <w:p>
            <w:pPr>
              <w:spacing w:after="0"/>
              <w:rPr>
                <w:sz w:val="24"/>
                <w:szCs w:val="24"/>
                <w:color w:val="auto"/>
              </w:rPr>
            </w:pPr>
          </w:p>
        </w:tc>
        <w:tc>
          <w:tcPr>
            <w:tcW w:w="640" w:type="dxa"/>
            <w:vAlign w:val="bottom"/>
            <w:tcBorders>
              <w:bottom w:val="single" w:sz="8" w:color="EDFAEC"/>
            </w:tcBorders>
            <w:shd w:val="clear" w:color="auto" w:fill="EDFAEC"/>
          </w:tcPr>
          <w:p>
            <w:pPr>
              <w:spacing w:after="0"/>
              <w:rPr>
                <w:sz w:val="24"/>
                <w:szCs w:val="24"/>
                <w:color w:val="auto"/>
              </w:rPr>
            </w:pPr>
          </w:p>
        </w:tc>
        <w:tc>
          <w:tcPr>
            <w:tcW w:w="820" w:type="dxa"/>
            <w:vAlign w:val="bottom"/>
            <w:tcBorders>
              <w:bottom w:val="single" w:sz="8" w:color="EDFAEC"/>
            </w:tcBorders>
            <w:shd w:val="clear" w:color="auto" w:fill="EDFAEC"/>
          </w:tcPr>
          <w:p>
            <w:pPr>
              <w:spacing w:after="0"/>
              <w:rPr>
                <w:sz w:val="24"/>
                <w:szCs w:val="24"/>
                <w:color w:val="auto"/>
              </w:rPr>
            </w:pPr>
          </w:p>
        </w:tc>
        <w:tc>
          <w:tcPr>
            <w:tcW w:w="680" w:type="dxa"/>
            <w:vAlign w:val="bottom"/>
            <w:tcBorders>
              <w:bottom w:val="single" w:sz="8" w:color="EDFAEC"/>
            </w:tcBorders>
            <w:shd w:val="clear" w:color="auto" w:fill="EDFAEC"/>
          </w:tcPr>
          <w:p>
            <w:pPr>
              <w:spacing w:after="0"/>
              <w:rPr>
                <w:sz w:val="24"/>
                <w:szCs w:val="24"/>
                <w:color w:val="auto"/>
              </w:rPr>
            </w:pPr>
          </w:p>
        </w:tc>
        <w:tc>
          <w:tcPr>
            <w:tcW w:w="680" w:type="dxa"/>
            <w:vAlign w:val="bottom"/>
            <w:tcBorders>
              <w:bottom w:val="single" w:sz="8" w:color="EDFAEC"/>
            </w:tcBorders>
            <w:shd w:val="clear" w:color="auto" w:fill="EDFAEC"/>
          </w:tcPr>
          <w:p>
            <w:pPr>
              <w:spacing w:after="0"/>
              <w:rPr>
                <w:sz w:val="24"/>
                <w:szCs w:val="24"/>
                <w:color w:val="auto"/>
              </w:rPr>
            </w:pPr>
          </w:p>
        </w:tc>
      </w:tr>
      <w:tr>
        <w:trPr>
          <w:trHeight w:val="297"/>
        </w:trPr>
        <w:tc>
          <w:tcPr>
            <w:tcW w:w="5240" w:type="dxa"/>
            <w:vAlign w:val="bottom"/>
            <w:tcBorders>
              <w:top w:val="single" w:sz="8" w:color="CCCCCC"/>
            </w:tcBorders>
          </w:tcPr>
          <w:p>
            <w:pPr>
              <w:ind w:left="80"/>
              <w:spacing w:after="0"/>
              <w:rPr>
                <w:sz w:val="20"/>
                <w:szCs w:val="20"/>
                <w:color w:val="auto"/>
              </w:rPr>
            </w:pPr>
            <w:r>
              <w:rPr>
                <w:rFonts w:ascii="Arial" w:cs="Arial" w:eastAsia="Arial" w:hAnsi="Arial"/>
                <w:sz w:val="16"/>
                <w:szCs w:val="16"/>
                <w:b w:val="1"/>
                <w:bCs w:val="1"/>
                <w:color w:val="431C5B"/>
              </w:rPr>
              <w:t>Stephanie L. Ferris</w:t>
            </w:r>
          </w:p>
        </w:tc>
        <w:tc>
          <w:tcPr>
            <w:tcW w:w="700" w:type="dxa"/>
            <w:vAlign w:val="bottom"/>
            <w:tcBorders>
              <w:top w:val="single" w:sz="8" w:color="CCCCCC"/>
            </w:tcBorders>
          </w:tcPr>
          <w:p>
            <w:pPr>
              <w:spacing w:after="0"/>
              <w:rPr>
                <w:sz w:val="24"/>
                <w:szCs w:val="24"/>
                <w:color w:val="auto"/>
              </w:rPr>
            </w:pPr>
          </w:p>
        </w:tc>
        <w:tc>
          <w:tcPr>
            <w:tcW w:w="640" w:type="dxa"/>
            <w:vAlign w:val="bottom"/>
            <w:tcBorders>
              <w:top w:val="single" w:sz="8" w:color="CCCCCC"/>
            </w:tcBorders>
          </w:tcPr>
          <w:p>
            <w:pPr>
              <w:spacing w:after="0"/>
              <w:rPr>
                <w:sz w:val="24"/>
                <w:szCs w:val="24"/>
                <w:color w:val="auto"/>
              </w:rPr>
            </w:pPr>
          </w:p>
        </w:tc>
        <w:tc>
          <w:tcPr>
            <w:tcW w:w="820" w:type="dxa"/>
            <w:vAlign w:val="bottom"/>
            <w:tcBorders>
              <w:top w:val="single" w:sz="8" w:color="CCCCCC"/>
            </w:tcBorders>
          </w:tcPr>
          <w:p>
            <w:pPr>
              <w:spacing w:after="0"/>
              <w:rPr>
                <w:sz w:val="24"/>
                <w:szCs w:val="24"/>
                <w:color w:val="auto"/>
              </w:rPr>
            </w:pPr>
          </w:p>
        </w:tc>
        <w:tc>
          <w:tcPr>
            <w:tcW w:w="680" w:type="dxa"/>
            <w:vAlign w:val="bottom"/>
            <w:tcBorders>
              <w:top w:val="single" w:sz="8" w:color="CCCCCC"/>
            </w:tcBorders>
          </w:tcPr>
          <w:p>
            <w:pPr>
              <w:spacing w:after="0"/>
              <w:rPr>
                <w:sz w:val="24"/>
                <w:szCs w:val="24"/>
                <w:color w:val="auto"/>
              </w:rPr>
            </w:pPr>
          </w:p>
        </w:tc>
        <w:tc>
          <w:tcPr>
            <w:tcW w:w="680" w:type="dxa"/>
            <w:vAlign w:val="bottom"/>
            <w:tcBorders>
              <w:top w:val="single" w:sz="8" w:color="CCCCCC"/>
            </w:tcBorders>
          </w:tcPr>
          <w:p>
            <w:pPr>
              <w:spacing w:after="0"/>
              <w:rPr>
                <w:sz w:val="24"/>
                <w:szCs w:val="24"/>
                <w:color w:val="auto"/>
              </w:rPr>
            </w:pPr>
          </w:p>
        </w:tc>
      </w:tr>
      <w:tr>
        <w:trPr>
          <w:trHeight w:val="48"/>
        </w:trPr>
        <w:tc>
          <w:tcPr>
            <w:tcW w:w="5240" w:type="dxa"/>
            <w:vAlign w:val="bottom"/>
            <w:tcBorders>
              <w:bottom w:val="single" w:sz="8" w:color="CCCCCC"/>
            </w:tcBorders>
          </w:tcPr>
          <w:p>
            <w:pPr>
              <w:spacing w:after="0"/>
              <w:rPr>
                <w:sz w:val="4"/>
                <w:szCs w:val="4"/>
                <w:color w:val="auto"/>
              </w:rPr>
            </w:pPr>
          </w:p>
        </w:tc>
        <w:tc>
          <w:tcPr>
            <w:tcW w:w="700" w:type="dxa"/>
            <w:vAlign w:val="bottom"/>
            <w:tcBorders>
              <w:bottom w:val="single" w:sz="8" w:color="CCCCCC"/>
            </w:tcBorders>
          </w:tcPr>
          <w:p>
            <w:pPr>
              <w:spacing w:after="0"/>
              <w:rPr>
                <w:sz w:val="4"/>
                <w:szCs w:val="4"/>
                <w:color w:val="auto"/>
              </w:rPr>
            </w:pPr>
          </w:p>
        </w:tc>
        <w:tc>
          <w:tcPr>
            <w:tcW w:w="640" w:type="dxa"/>
            <w:vAlign w:val="bottom"/>
            <w:tcBorders>
              <w:bottom w:val="single" w:sz="8" w:color="CCCCCC"/>
            </w:tcBorders>
          </w:tcPr>
          <w:p>
            <w:pPr>
              <w:spacing w:after="0"/>
              <w:rPr>
                <w:sz w:val="4"/>
                <w:szCs w:val="4"/>
                <w:color w:val="auto"/>
              </w:rPr>
            </w:pPr>
          </w:p>
        </w:tc>
        <w:tc>
          <w:tcPr>
            <w:tcW w:w="820" w:type="dxa"/>
            <w:vAlign w:val="bottom"/>
            <w:tcBorders>
              <w:bottom w:val="single" w:sz="8" w:color="CCCCCC"/>
            </w:tcBorders>
          </w:tcPr>
          <w:p>
            <w:pPr>
              <w:spacing w:after="0"/>
              <w:rPr>
                <w:sz w:val="4"/>
                <w:szCs w:val="4"/>
                <w:color w:val="auto"/>
              </w:rPr>
            </w:pPr>
          </w:p>
        </w:tc>
        <w:tc>
          <w:tcPr>
            <w:tcW w:w="680" w:type="dxa"/>
            <w:vAlign w:val="bottom"/>
            <w:tcBorders>
              <w:bottom w:val="single" w:sz="8" w:color="CCCCCC"/>
            </w:tcBorders>
          </w:tcPr>
          <w:p>
            <w:pPr>
              <w:spacing w:after="0"/>
              <w:rPr>
                <w:sz w:val="4"/>
                <w:szCs w:val="4"/>
                <w:color w:val="auto"/>
              </w:rPr>
            </w:pPr>
          </w:p>
        </w:tc>
        <w:tc>
          <w:tcPr>
            <w:tcW w:w="680" w:type="dxa"/>
            <w:vAlign w:val="bottom"/>
            <w:tcBorders>
              <w:bottom w:val="single" w:sz="8" w:color="CCCCCC"/>
            </w:tcBorders>
          </w:tcPr>
          <w:p>
            <w:pPr>
              <w:spacing w:after="0"/>
              <w:rPr>
                <w:sz w:val="4"/>
                <w:szCs w:val="4"/>
                <w:color w:val="auto"/>
              </w:rPr>
            </w:pPr>
          </w:p>
        </w:tc>
      </w:tr>
      <w:tr>
        <w:trPr>
          <w:trHeight w:val="349"/>
        </w:trPr>
        <w:tc>
          <w:tcPr>
            <w:tcW w:w="524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6"/>
                <w:szCs w:val="16"/>
                <w:b w:val="1"/>
                <w:bCs w:val="1"/>
                <w:color w:val="431C5B"/>
              </w:rPr>
              <w:t>Kourtney K. Gibson</w:t>
            </w:r>
          </w:p>
        </w:tc>
        <w:tc>
          <w:tcPr>
            <w:tcW w:w="700" w:type="dxa"/>
            <w:vAlign w:val="bottom"/>
            <w:tcBorders>
              <w:bottom w:val="single" w:sz="8" w:color="EDFAEC"/>
            </w:tcBorders>
            <w:shd w:val="clear" w:color="auto" w:fill="EDFAEC"/>
          </w:tcPr>
          <w:p>
            <w:pPr>
              <w:spacing w:after="0"/>
              <w:rPr>
                <w:sz w:val="24"/>
                <w:szCs w:val="24"/>
                <w:color w:val="auto"/>
              </w:rPr>
            </w:pPr>
          </w:p>
        </w:tc>
        <w:tc>
          <w:tcPr>
            <w:tcW w:w="640" w:type="dxa"/>
            <w:vAlign w:val="bottom"/>
            <w:tcBorders>
              <w:bottom w:val="single" w:sz="8" w:color="EDFAEC"/>
            </w:tcBorders>
            <w:shd w:val="clear" w:color="auto" w:fill="EDFAEC"/>
          </w:tcPr>
          <w:p>
            <w:pPr>
              <w:spacing w:after="0"/>
              <w:rPr>
                <w:sz w:val="24"/>
                <w:szCs w:val="24"/>
                <w:color w:val="auto"/>
              </w:rPr>
            </w:pPr>
          </w:p>
        </w:tc>
        <w:tc>
          <w:tcPr>
            <w:tcW w:w="820" w:type="dxa"/>
            <w:vAlign w:val="bottom"/>
            <w:tcBorders>
              <w:bottom w:val="single" w:sz="8" w:color="EDFAEC"/>
            </w:tcBorders>
            <w:shd w:val="clear" w:color="auto" w:fill="EDFAEC"/>
          </w:tcPr>
          <w:p>
            <w:pPr>
              <w:spacing w:after="0"/>
              <w:rPr>
                <w:sz w:val="24"/>
                <w:szCs w:val="24"/>
                <w:color w:val="auto"/>
              </w:rPr>
            </w:pPr>
          </w:p>
        </w:tc>
        <w:tc>
          <w:tcPr>
            <w:tcW w:w="680" w:type="dxa"/>
            <w:vAlign w:val="bottom"/>
            <w:tcBorders>
              <w:bottom w:val="single" w:sz="8" w:color="EDFAEC"/>
            </w:tcBorders>
            <w:shd w:val="clear" w:color="auto" w:fill="EDFAEC"/>
          </w:tcPr>
          <w:p>
            <w:pPr>
              <w:spacing w:after="0"/>
              <w:rPr>
                <w:sz w:val="24"/>
                <w:szCs w:val="24"/>
                <w:color w:val="auto"/>
              </w:rPr>
            </w:pPr>
          </w:p>
        </w:tc>
        <w:tc>
          <w:tcPr>
            <w:tcW w:w="680" w:type="dxa"/>
            <w:vAlign w:val="bottom"/>
            <w:tcBorders>
              <w:bottom w:val="single" w:sz="8" w:color="EDFAEC"/>
            </w:tcBorders>
            <w:shd w:val="clear" w:color="auto" w:fill="EDFAEC"/>
          </w:tcPr>
          <w:p>
            <w:pPr>
              <w:spacing w:after="0"/>
              <w:rPr>
                <w:sz w:val="24"/>
                <w:szCs w:val="24"/>
                <w:color w:val="auto"/>
              </w:rPr>
            </w:pPr>
          </w:p>
        </w:tc>
      </w:tr>
      <w:tr>
        <w:trPr>
          <w:trHeight w:val="297"/>
        </w:trPr>
        <w:tc>
          <w:tcPr>
            <w:tcW w:w="5240" w:type="dxa"/>
            <w:vAlign w:val="bottom"/>
            <w:tcBorders>
              <w:top w:val="single" w:sz="8" w:color="CCCCCC"/>
            </w:tcBorders>
          </w:tcPr>
          <w:p>
            <w:pPr>
              <w:ind w:left="80"/>
              <w:spacing w:after="0"/>
              <w:rPr>
                <w:sz w:val="20"/>
                <w:szCs w:val="20"/>
                <w:color w:val="auto"/>
              </w:rPr>
            </w:pPr>
            <w:r>
              <w:rPr>
                <w:rFonts w:ascii="Arial" w:cs="Arial" w:eastAsia="Arial" w:hAnsi="Arial"/>
                <w:sz w:val="16"/>
                <w:szCs w:val="16"/>
                <w:b w:val="1"/>
                <w:bCs w:val="1"/>
                <w:color w:val="431C5B"/>
              </w:rPr>
              <w:t xml:space="preserve">Jeffrey A. Goldstein </w:t>
            </w:r>
            <w:r>
              <w:rPr>
                <w:rFonts w:ascii="Arial" w:cs="Arial" w:eastAsia="Arial" w:hAnsi="Arial"/>
                <w:sz w:val="16"/>
                <w:szCs w:val="16"/>
                <w:color w:val="000000"/>
              </w:rPr>
              <w:t>(Independent Chair)</w:t>
            </w:r>
          </w:p>
        </w:tc>
        <w:tc>
          <w:tcPr>
            <w:tcW w:w="700" w:type="dxa"/>
            <w:vAlign w:val="bottom"/>
            <w:tcBorders>
              <w:top w:val="single" w:sz="8" w:color="CCCCCC"/>
            </w:tcBorders>
          </w:tcPr>
          <w:p>
            <w:pPr>
              <w:spacing w:after="0"/>
              <w:rPr>
                <w:sz w:val="24"/>
                <w:szCs w:val="24"/>
                <w:color w:val="auto"/>
              </w:rPr>
            </w:pPr>
          </w:p>
        </w:tc>
        <w:tc>
          <w:tcPr>
            <w:tcW w:w="640" w:type="dxa"/>
            <w:vAlign w:val="bottom"/>
            <w:tcBorders>
              <w:top w:val="single" w:sz="8" w:color="CCCCCC"/>
            </w:tcBorders>
          </w:tcPr>
          <w:p>
            <w:pPr>
              <w:spacing w:after="0"/>
              <w:rPr>
                <w:sz w:val="24"/>
                <w:szCs w:val="24"/>
                <w:color w:val="auto"/>
              </w:rPr>
            </w:pPr>
          </w:p>
        </w:tc>
        <w:tc>
          <w:tcPr>
            <w:tcW w:w="820" w:type="dxa"/>
            <w:vAlign w:val="bottom"/>
            <w:tcBorders>
              <w:top w:val="single" w:sz="8" w:color="CCCCCC"/>
            </w:tcBorders>
          </w:tcPr>
          <w:p>
            <w:pPr>
              <w:spacing w:after="0"/>
              <w:rPr>
                <w:sz w:val="24"/>
                <w:szCs w:val="24"/>
                <w:color w:val="auto"/>
              </w:rPr>
            </w:pPr>
          </w:p>
        </w:tc>
        <w:tc>
          <w:tcPr>
            <w:tcW w:w="680" w:type="dxa"/>
            <w:vAlign w:val="bottom"/>
            <w:tcBorders>
              <w:top w:val="single" w:sz="8" w:color="CCCCCC"/>
            </w:tcBorders>
          </w:tcPr>
          <w:p>
            <w:pPr>
              <w:spacing w:after="0"/>
              <w:rPr>
                <w:sz w:val="24"/>
                <w:szCs w:val="24"/>
                <w:color w:val="auto"/>
              </w:rPr>
            </w:pPr>
          </w:p>
        </w:tc>
        <w:tc>
          <w:tcPr>
            <w:tcW w:w="680" w:type="dxa"/>
            <w:vAlign w:val="bottom"/>
            <w:tcBorders>
              <w:top w:val="single" w:sz="8" w:color="CCCCCC"/>
            </w:tcBorders>
          </w:tcPr>
          <w:p>
            <w:pPr>
              <w:spacing w:after="0"/>
              <w:rPr>
                <w:sz w:val="24"/>
                <w:szCs w:val="24"/>
                <w:color w:val="auto"/>
              </w:rPr>
            </w:pPr>
          </w:p>
        </w:tc>
      </w:tr>
      <w:tr>
        <w:trPr>
          <w:trHeight w:val="48"/>
        </w:trPr>
        <w:tc>
          <w:tcPr>
            <w:tcW w:w="5240" w:type="dxa"/>
            <w:vAlign w:val="bottom"/>
            <w:tcBorders>
              <w:bottom w:val="single" w:sz="8" w:color="CCCCCC"/>
            </w:tcBorders>
          </w:tcPr>
          <w:p>
            <w:pPr>
              <w:spacing w:after="0"/>
              <w:rPr>
                <w:sz w:val="4"/>
                <w:szCs w:val="4"/>
                <w:color w:val="auto"/>
              </w:rPr>
            </w:pPr>
          </w:p>
        </w:tc>
        <w:tc>
          <w:tcPr>
            <w:tcW w:w="700" w:type="dxa"/>
            <w:vAlign w:val="bottom"/>
            <w:tcBorders>
              <w:bottom w:val="single" w:sz="8" w:color="CCCCCC"/>
            </w:tcBorders>
          </w:tcPr>
          <w:p>
            <w:pPr>
              <w:spacing w:after="0"/>
              <w:rPr>
                <w:sz w:val="4"/>
                <w:szCs w:val="4"/>
                <w:color w:val="auto"/>
              </w:rPr>
            </w:pPr>
          </w:p>
        </w:tc>
        <w:tc>
          <w:tcPr>
            <w:tcW w:w="640" w:type="dxa"/>
            <w:vAlign w:val="bottom"/>
            <w:tcBorders>
              <w:bottom w:val="single" w:sz="8" w:color="CCCCCC"/>
            </w:tcBorders>
          </w:tcPr>
          <w:p>
            <w:pPr>
              <w:spacing w:after="0"/>
              <w:rPr>
                <w:sz w:val="4"/>
                <w:szCs w:val="4"/>
                <w:color w:val="auto"/>
              </w:rPr>
            </w:pPr>
          </w:p>
        </w:tc>
        <w:tc>
          <w:tcPr>
            <w:tcW w:w="820" w:type="dxa"/>
            <w:vAlign w:val="bottom"/>
            <w:tcBorders>
              <w:bottom w:val="single" w:sz="8" w:color="CCCCCC"/>
            </w:tcBorders>
          </w:tcPr>
          <w:p>
            <w:pPr>
              <w:spacing w:after="0"/>
              <w:rPr>
                <w:sz w:val="4"/>
                <w:szCs w:val="4"/>
                <w:color w:val="auto"/>
              </w:rPr>
            </w:pPr>
          </w:p>
        </w:tc>
        <w:tc>
          <w:tcPr>
            <w:tcW w:w="680" w:type="dxa"/>
            <w:vAlign w:val="bottom"/>
            <w:tcBorders>
              <w:bottom w:val="single" w:sz="8" w:color="CCCCCC"/>
            </w:tcBorders>
          </w:tcPr>
          <w:p>
            <w:pPr>
              <w:spacing w:after="0"/>
              <w:rPr>
                <w:sz w:val="4"/>
                <w:szCs w:val="4"/>
                <w:color w:val="auto"/>
              </w:rPr>
            </w:pPr>
          </w:p>
        </w:tc>
        <w:tc>
          <w:tcPr>
            <w:tcW w:w="680" w:type="dxa"/>
            <w:vAlign w:val="bottom"/>
            <w:tcBorders>
              <w:bottom w:val="single" w:sz="8" w:color="CCCCCC"/>
            </w:tcBorders>
          </w:tcPr>
          <w:p>
            <w:pPr>
              <w:spacing w:after="0"/>
              <w:rPr>
                <w:sz w:val="4"/>
                <w:szCs w:val="4"/>
                <w:color w:val="auto"/>
              </w:rPr>
            </w:pPr>
          </w:p>
        </w:tc>
      </w:tr>
      <w:tr>
        <w:trPr>
          <w:trHeight w:val="349"/>
        </w:trPr>
        <w:tc>
          <w:tcPr>
            <w:tcW w:w="524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6"/>
                <w:szCs w:val="16"/>
                <w:b w:val="1"/>
                <w:bCs w:val="1"/>
                <w:color w:val="431C5B"/>
              </w:rPr>
              <w:t>Lisa A. Hook</w:t>
            </w:r>
          </w:p>
        </w:tc>
        <w:tc>
          <w:tcPr>
            <w:tcW w:w="700" w:type="dxa"/>
            <w:vAlign w:val="bottom"/>
            <w:tcBorders>
              <w:bottom w:val="single" w:sz="8" w:color="EDFAEC"/>
            </w:tcBorders>
            <w:shd w:val="clear" w:color="auto" w:fill="EDFAEC"/>
          </w:tcPr>
          <w:p>
            <w:pPr>
              <w:spacing w:after="0"/>
              <w:rPr>
                <w:sz w:val="24"/>
                <w:szCs w:val="24"/>
                <w:color w:val="auto"/>
              </w:rPr>
            </w:pPr>
          </w:p>
        </w:tc>
        <w:tc>
          <w:tcPr>
            <w:tcW w:w="640" w:type="dxa"/>
            <w:vAlign w:val="bottom"/>
            <w:tcBorders>
              <w:bottom w:val="single" w:sz="8" w:color="EDFAEC"/>
            </w:tcBorders>
            <w:shd w:val="clear" w:color="auto" w:fill="EDFAEC"/>
          </w:tcPr>
          <w:p>
            <w:pPr>
              <w:spacing w:after="0"/>
              <w:rPr>
                <w:sz w:val="24"/>
                <w:szCs w:val="24"/>
                <w:color w:val="auto"/>
              </w:rPr>
            </w:pPr>
          </w:p>
        </w:tc>
        <w:tc>
          <w:tcPr>
            <w:tcW w:w="820" w:type="dxa"/>
            <w:vAlign w:val="bottom"/>
            <w:tcBorders>
              <w:bottom w:val="single" w:sz="8" w:color="EDFAEC"/>
            </w:tcBorders>
            <w:shd w:val="clear" w:color="auto" w:fill="EDFAEC"/>
          </w:tcPr>
          <w:p>
            <w:pPr>
              <w:spacing w:after="0"/>
              <w:rPr>
                <w:sz w:val="24"/>
                <w:szCs w:val="24"/>
                <w:color w:val="auto"/>
              </w:rPr>
            </w:pPr>
          </w:p>
        </w:tc>
        <w:tc>
          <w:tcPr>
            <w:tcW w:w="680" w:type="dxa"/>
            <w:vAlign w:val="bottom"/>
            <w:tcBorders>
              <w:bottom w:val="single" w:sz="8" w:color="EDFAEC"/>
            </w:tcBorders>
            <w:shd w:val="clear" w:color="auto" w:fill="EDFAEC"/>
          </w:tcPr>
          <w:p>
            <w:pPr>
              <w:spacing w:after="0"/>
              <w:rPr>
                <w:sz w:val="24"/>
                <w:szCs w:val="24"/>
                <w:color w:val="auto"/>
              </w:rPr>
            </w:pPr>
          </w:p>
        </w:tc>
        <w:tc>
          <w:tcPr>
            <w:tcW w:w="680" w:type="dxa"/>
            <w:vAlign w:val="bottom"/>
            <w:tcBorders>
              <w:bottom w:val="single" w:sz="8" w:color="EDFAEC"/>
            </w:tcBorders>
            <w:shd w:val="clear" w:color="auto" w:fill="EDFAEC"/>
          </w:tcPr>
          <w:p>
            <w:pPr>
              <w:spacing w:after="0"/>
              <w:rPr>
                <w:sz w:val="24"/>
                <w:szCs w:val="24"/>
                <w:color w:val="auto"/>
              </w:rPr>
            </w:pPr>
          </w:p>
        </w:tc>
      </w:tr>
      <w:tr>
        <w:trPr>
          <w:trHeight w:val="297"/>
        </w:trPr>
        <w:tc>
          <w:tcPr>
            <w:tcW w:w="5240" w:type="dxa"/>
            <w:vAlign w:val="bottom"/>
            <w:tcBorders>
              <w:top w:val="single" w:sz="8" w:color="CCCCCC"/>
            </w:tcBorders>
          </w:tcPr>
          <w:p>
            <w:pPr>
              <w:ind w:left="80"/>
              <w:spacing w:after="0"/>
              <w:rPr>
                <w:sz w:val="20"/>
                <w:szCs w:val="20"/>
                <w:color w:val="auto"/>
              </w:rPr>
            </w:pPr>
            <w:r>
              <w:rPr>
                <w:rFonts w:ascii="Arial" w:cs="Arial" w:eastAsia="Arial" w:hAnsi="Arial"/>
                <w:sz w:val="16"/>
                <w:szCs w:val="16"/>
                <w:b w:val="1"/>
                <w:bCs w:val="1"/>
                <w:color w:val="431C5B"/>
              </w:rPr>
              <w:t>Kenneth T. Lamneck</w:t>
            </w:r>
          </w:p>
        </w:tc>
        <w:tc>
          <w:tcPr>
            <w:tcW w:w="700" w:type="dxa"/>
            <w:vAlign w:val="bottom"/>
            <w:tcBorders>
              <w:top w:val="single" w:sz="8" w:color="CCCCCC"/>
            </w:tcBorders>
          </w:tcPr>
          <w:p>
            <w:pPr>
              <w:spacing w:after="0"/>
              <w:rPr>
                <w:sz w:val="24"/>
                <w:szCs w:val="24"/>
                <w:color w:val="auto"/>
              </w:rPr>
            </w:pPr>
          </w:p>
        </w:tc>
        <w:tc>
          <w:tcPr>
            <w:tcW w:w="640" w:type="dxa"/>
            <w:vAlign w:val="bottom"/>
            <w:tcBorders>
              <w:top w:val="single" w:sz="8" w:color="CCCCCC"/>
            </w:tcBorders>
          </w:tcPr>
          <w:p>
            <w:pPr>
              <w:spacing w:after="0"/>
              <w:rPr>
                <w:sz w:val="24"/>
                <w:szCs w:val="24"/>
                <w:color w:val="auto"/>
              </w:rPr>
            </w:pPr>
          </w:p>
        </w:tc>
        <w:tc>
          <w:tcPr>
            <w:tcW w:w="820" w:type="dxa"/>
            <w:vAlign w:val="bottom"/>
            <w:tcBorders>
              <w:top w:val="single" w:sz="8" w:color="CCCCCC"/>
            </w:tcBorders>
          </w:tcPr>
          <w:p>
            <w:pPr>
              <w:spacing w:after="0"/>
              <w:rPr>
                <w:sz w:val="24"/>
                <w:szCs w:val="24"/>
                <w:color w:val="auto"/>
              </w:rPr>
            </w:pPr>
          </w:p>
        </w:tc>
        <w:tc>
          <w:tcPr>
            <w:tcW w:w="680" w:type="dxa"/>
            <w:vAlign w:val="bottom"/>
            <w:tcBorders>
              <w:top w:val="single" w:sz="8" w:color="CCCCCC"/>
            </w:tcBorders>
          </w:tcPr>
          <w:p>
            <w:pPr>
              <w:spacing w:after="0"/>
              <w:rPr>
                <w:sz w:val="24"/>
                <w:szCs w:val="24"/>
                <w:color w:val="auto"/>
              </w:rPr>
            </w:pPr>
          </w:p>
        </w:tc>
        <w:tc>
          <w:tcPr>
            <w:tcW w:w="680" w:type="dxa"/>
            <w:vAlign w:val="bottom"/>
            <w:tcBorders>
              <w:top w:val="single" w:sz="8" w:color="CCCCCC"/>
            </w:tcBorders>
          </w:tcPr>
          <w:p>
            <w:pPr>
              <w:spacing w:after="0"/>
              <w:rPr>
                <w:sz w:val="24"/>
                <w:szCs w:val="24"/>
                <w:color w:val="auto"/>
              </w:rPr>
            </w:pPr>
          </w:p>
        </w:tc>
      </w:tr>
      <w:tr>
        <w:trPr>
          <w:trHeight w:val="48"/>
        </w:trPr>
        <w:tc>
          <w:tcPr>
            <w:tcW w:w="5240" w:type="dxa"/>
            <w:vAlign w:val="bottom"/>
            <w:tcBorders>
              <w:bottom w:val="single" w:sz="8" w:color="CCCCCC"/>
            </w:tcBorders>
          </w:tcPr>
          <w:p>
            <w:pPr>
              <w:spacing w:after="0"/>
              <w:rPr>
                <w:sz w:val="4"/>
                <w:szCs w:val="4"/>
                <w:color w:val="auto"/>
              </w:rPr>
            </w:pPr>
          </w:p>
        </w:tc>
        <w:tc>
          <w:tcPr>
            <w:tcW w:w="700" w:type="dxa"/>
            <w:vAlign w:val="bottom"/>
            <w:tcBorders>
              <w:bottom w:val="single" w:sz="8" w:color="CCCCCC"/>
            </w:tcBorders>
          </w:tcPr>
          <w:p>
            <w:pPr>
              <w:spacing w:after="0"/>
              <w:rPr>
                <w:sz w:val="4"/>
                <w:szCs w:val="4"/>
                <w:color w:val="auto"/>
              </w:rPr>
            </w:pPr>
          </w:p>
        </w:tc>
        <w:tc>
          <w:tcPr>
            <w:tcW w:w="640" w:type="dxa"/>
            <w:vAlign w:val="bottom"/>
            <w:tcBorders>
              <w:bottom w:val="single" w:sz="8" w:color="CCCCCC"/>
            </w:tcBorders>
          </w:tcPr>
          <w:p>
            <w:pPr>
              <w:spacing w:after="0"/>
              <w:rPr>
                <w:sz w:val="4"/>
                <w:szCs w:val="4"/>
                <w:color w:val="auto"/>
              </w:rPr>
            </w:pPr>
          </w:p>
        </w:tc>
        <w:tc>
          <w:tcPr>
            <w:tcW w:w="820" w:type="dxa"/>
            <w:vAlign w:val="bottom"/>
            <w:tcBorders>
              <w:bottom w:val="single" w:sz="8" w:color="CCCCCC"/>
            </w:tcBorders>
          </w:tcPr>
          <w:p>
            <w:pPr>
              <w:spacing w:after="0"/>
              <w:rPr>
                <w:sz w:val="4"/>
                <w:szCs w:val="4"/>
                <w:color w:val="auto"/>
              </w:rPr>
            </w:pPr>
          </w:p>
        </w:tc>
        <w:tc>
          <w:tcPr>
            <w:tcW w:w="680" w:type="dxa"/>
            <w:vAlign w:val="bottom"/>
            <w:tcBorders>
              <w:bottom w:val="single" w:sz="8" w:color="CCCCCC"/>
            </w:tcBorders>
          </w:tcPr>
          <w:p>
            <w:pPr>
              <w:spacing w:after="0"/>
              <w:rPr>
                <w:sz w:val="4"/>
                <w:szCs w:val="4"/>
                <w:color w:val="auto"/>
              </w:rPr>
            </w:pPr>
          </w:p>
        </w:tc>
        <w:tc>
          <w:tcPr>
            <w:tcW w:w="680" w:type="dxa"/>
            <w:vAlign w:val="bottom"/>
            <w:tcBorders>
              <w:bottom w:val="single" w:sz="8" w:color="CCCCCC"/>
            </w:tcBorders>
          </w:tcPr>
          <w:p>
            <w:pPr>
              <w:spacing w:after="0"/>
              <w:rPr>
                <w:sz w:val="4"/>
                <w:szCs w:val="4"/>
                <w:color w:val="auto"/>
              </w:rPr>
            </w:pPr>
          </w:p>
        </w:tc>
      </w:tr>
      <w:tr>
        <w:trPr>
          <w:trHeight w:val="350"/>
        </w:trPr>
        <w:tc>
          <w:tcPr>
            <w:tcW w:w="524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6"/>
                <w:szCs w:val="16"/>
                <w:b w:val="1"/>
                <w:bCs w:val="1"/>
                <w:color w:val="431C5B"/>
              </w:rPr>
              <w:t>Gary L. Lauer</w:t>
            </w:r>
          </w:p>
        </w:tc>
        <w:tc>
          <w:tcPr>
            <w:tcW w:w="700" w:type="dxa"/>
            <w:vAlign w:val="bottom"/>
            <w:tcBorders>
              <w:bottom w:val="single" w:sz="8" w:color="EDFAEC"/>
            </w:tcBorders>
            <w:shd w:val="clear" w:color="auto" w:fill="EDFAEC"/>
          </w:tcPr>
          <w:p>
            <w:pPr>
              <w:spacing w:after="0"/>
              <w:rPr>
                <w:sz w:val="24"/>
                <w:szCs w:val="24"/>
                <w:color w:val="auto"/>
              </w:rPr>
            </w:pPr>
          </w:p>
        </w:tc>
        <w:tc>
          <w:tcPr>
            <w:tcW w:w="640" w:type="dxa"/>
            <w:vAlign w:val="bottom"/>
            <w:tcBorders>
              <w:bottom w:val="single" w:sz="8" w:color="EDFAEC"/>
            </w:tcBorders>
            <w:shd w:val="clear" w:color="auto" w:fill="EDFAEC"/>
          </w:tcPr>
          <w:p>
            <w:pPr>
              <w:spacing w:after="0"/>
              <w:rPr>
                <w:sz w:val="24"/>
                <w:szCs w:val="24"/>
                <w:color w:val="auto"/>
              </w:rPr>
            </w:pPr>
          </w:p>
        </w:tc>
        <w:tc>
          <w:tcPr>
            <w:tcW w:w="820" w:type="dxa"/>
            <w:vAlign w:val="bottom"/>
            <w:tcBorders>
              <w:bottom w:val="single" w:sz="8" w:color="EDFAEC"/>
            </w:tcBorders>
            <w:shd w:val="clear" w:color="auto" w:fill="EDFAEC"/>
          </w:tcPr>
          <w:p>
            <w:pPr>
              <w:spacing w:after="0"/>
              <w:rPr>
                <w:sz w:val="24"/>
                <w:szCs w:val="24"/>
                <w:color w:val="auto"/>
              </w:rPr>
            </w:pPr>
          </w:p>
        </w:tc>
        <w:tc>
          <w:tcPr>
            <w:tcW w:w="680" w:type="dxa"/>
            <w:vAlign w:val="bottom"/>
            <w:tcBorders>
              <w:bottom w:val="single" w:sz="8" w:color="EDFAEC"/>
            </w:tcBorders>
            <w:shd w:val="clear" w:color="auto" w:fill="EDFAEC"/>
          </w:tcPr>
          <w:p>
            <w:pPr>
              <w:spacing w:after="0"/>
              <w:rPr>
                <w:sz w:val="24"/>
                <w:szCs w:val="24"/>
                <w:color w:val="auto"/>
              </w:rPr>
            </w:pPr>
          </w:p>
        </w:tc>
        <w:tc>
          <w:tcPr>
            <w:tcW w:w="680" w:type="dxa"/>
            <w:vAlign w:val="bottom"/>
            <w:tcBorders>
              <w:bottom w:val="single" w:sz="8" w:color="EDFAEC"/>
            </w:tcBorders>
            <w:shd w:val="clear" w:color="auto" w:fill="EDFAEC"/>
          </w:tcPr>
          <w:p>
            <w:pPr>
              <w:spacing w:after="0"/>
              <w:rPr>
                <w:sz w:val="24"/>
                <w:szCs w:val="24"/>
                <w:color w:val="auto"/>
              </w:rPr>
            </w:pPr>
          </w:p>
        </w:tc>
      </w:tr>
      <w:tr>
        <w:trPr>
          <w:trHeight w:val="296"/>
        </w:trPr>
        <w:tc>
          <w:tcPr>
            <w:tcW w:w="5240" w:type="dxa"/>
            <w:vAlign w:val="bottom"/>
            <w:tcBorders>
              <w:top w:val="single" w:sz="8" w:color="CCCCCC"/>
            </w:tcBorders>
          </w:tcPr>
          <w:p>
            <w:pPr>
              <w:ind w:left="80"/>
              <w:spacing w:after="0"/>
              <w:rPr>
                <w:sz w:val="20"/>
                <w:szCs w:val="20"/>
                <w:color w:val="auto"/>
              </w:rPr>
            </w:pPr>
            <w:r>
              <w:rPr>
                <w:rFonts w:ascii="Arial" w:cs="Arial" w:eastAsia="Arial" w:hAnsi="Arial"/>
                <w:sz w:val="16"/>
                <w:szCs w:val="16"/>
                <w:b w:val="1"/>
                <w:bCs w:val="1"/>
                <w:color w:val="431C5B"/>
              </w:rPr>
              <w:t>James B. Stallings, Jr.</w:t>
            </w:r>
          </w:p>
        </w:tc>
        <w:tc>
          <w:tcPr>
            <w:tcW w:w="700" w:type="dxa"/>
            <w:vAlign w:val="bottom"/>
            <w:tcBorders>
              <w:top w:val="single" w:sz="8" w:color="CCCCCC"/>
            </w:tcBorders>
          </w:tcPr>
          <w:p>
            <w:pPr>
              <w:spacing w:after="0"/>
              <w:rPr>
                <w:sz w:val="24"/>
                <w:szCs w:val="24"/>
                <w:color w:val="auto"/>
              </w:rPr>
            </w:pPr>
          </w:p>
        </w:tc>
        <w:tc>
          <w:tcPr>
            <w:tcW w:w="640" w:type="dxa"/>
            <w:vAlign w:val="bottom"/>
            <w:tcBorders>
              <w:top w:val="single" w:sz="8" w:color="CCCCCC"/>
            </w:tcBorders>
          </w:tcPr>
          <w:p>
            <w:pPr>
              <w:spacing w:after="0"/>
              <w:rPr>
                <w:sz w:val="24"/>
                <w:szCs w:val="24"/>
                <w:color w:val="auto"/>
              </w:rPr>
            </w:pPr>
          </w:p>
        </w:tc>
        <w:tc>
          <w:tcPr>
            <w:tcW w:w="820" w:type="dxa"/>
            <w:vAlign w:val="bottom"/>
            <w:tcBorders>
              <w:top w:val="single" w:sz="8" w:color="CCCCCC"/>
            </w:tcBorders>
          </w:tcPr>
          <w:p>
            <w:pPr>
              <w:spacing w:after="0"/>
              <w:rPr>
                <w:sz w:val="24"/>
                <w:szCs w:val="24"/>
                <w:color w:val="auto"/>
              </w:rPr>
            </w:pPr>
          </w:p>
        </w:tc>
        <w:tc>
          <w:tcPr>
            <w:tcW w:w="680" w:type="dxa"/>
            <w:vAlign w:val="bottom"/>
            <w:tcBorders>
              <w:top w:val="single" w:sz="8" w:color="CCCCCC"/>
            </w:tcBorders>
          </w:tcPr>
          <w:p>
            <w:pPr>
              <w:spacing w:after="0"/>
              <w:rPr>
                <w:sz w:val="24"/>
                <w:szCs w:val="24"/>
                <w:color w:val="auto"/>
              </w:rPr>
            </w:pPr>
          </w:p>
        </w:tc>
        <w:tc>
          <w:tcPr>
            <w:tcW w:w="680" w:type="dxa"/>
            <w:vAlign w:val="bottom"/>
            <w:tcBorders>
              <w:top w:val="single" w:sz="8" w:color="CCCCCC"/>
            </w:tcBorders>
          </w:tcPr>
          <w:p>
            <w:pPr>
              <w:spacing w:after="0"/>
              <w:rPr>
                <w:sz w:val="24"/>
                <w:szCs w:val="24"/>
                <w:color w:val="auto"/>
              </w:rPr>
            </w:pPr>
          </w:p>
        </w:tc>
      </w:tr>
      <w:tr>
        <w:trPr>
          <w:trHeight w:val="48"/>
        </w:trPr>
        <w:tc>
          <w:tcPr>
            <w:tcW w:w="5240" w:type="dxa"/>
            <w:vAlign w:val="bottom"/>
            <w:tcBorders>
              <w:bottom w:val="single" w:sz="8" w:color="CCCCCC"/>
            </w:tcBorders>
          </w:tcPr>
          <w:p>
            <w:pPr>
              <w:spacing w:after="0"/>
              <w:rPr>
                <w:sz w:val="4"/>
                <w:szCs w:val="4"/>
                <w:color w:val="auto"/>
              </w:rPr>
            </w:pPr>
          </w:p>
        </w:tc>
        <w:tc>
          <w:tcPr>
            <w:tcW w:w="700" w:type="dxa"/>
            <w:vAlign w:val="bottom"/>
            <w:tcBorders>
              <w:bottom w:val="single" w:sz="8" w:color="CCCCCC"/>
            </w:tcBorders>
          </w:tcPr>
          <w:p>
            <w:pPr>
              <w:spacing w:after="0"/>
              <w:rPr>
                <w:sz w:val="4"/>
                <w:szCs w:val="4"/>
                <w:color w:val="auto"/>
              </w:rPr>
            </w:pPr>
          </w:p>
        </w:tc>
        <w:tc>
          <w:tcPr>
            <w:tcW w:w="640" w:type="dxa"/>
            <w:vAlign w:val="bottom"/>
            <w:tcBorders>
              <w:bottom w:val="single" w:sz="8" w:color="CCCCCC"/>
            </w:tcBorders>
          </w:tcPr>
          <w:p>
            <w:pPr>
              <w:spacing w:after="0"/>
              <w:rPr>
                <w:sz w:val="4"/>
                <w:szCs w:val="4"/>
                <w:color w:val="auto"/>
              </w:rPr>
            </w:pPr>
          </w:p>
        </w:tc>
        <w:tc>
          <w:tcPr>
            <w:tcW w:w="820" w:type="dxa"/>
            <w:vAlign w:val="bottom"/>
            <w:tcBorders>
              <w:bottom w:val="single" w:sz="8" w:color="CCCCCC"/>
            </w:tcBorders>
          </w:tcPr>
          <w:p>
            <w:pPr>
              <w:spacing w:after="0"/>
              <w:rPr>
                <w:sz w:val="4"/>
                <w:szCs w:val="4"/>
                <w:color w:val="auto"/>
              </w:rPr>
            </w:pPr>
          </w:p>
        </w:tc>
        <w:tc>
          <w:tcPr>
            <w:tcW w:w="680" w:type="dxa"/>
            <w:vAlign w:val="bottom"/>
            <w:tcBorders>
              <w:bottom w:val="single" w:sz="8" w:color="CCCCCC"/>
            </w:tcBorders>
          </w:tcPr>
          <w:p>
            <w:pPr>
              <w:spacing w:after="0"/>
              <w:rPr>
                <w:sz w:val="4"/>
                <w:szCs w:val="4"/>
                <w:color w:val="auto"/>
              </w:rPr>
            </w:pPr>
          </w:p>
        </w:tc>
        <w:tc>
          <w:tcPr>
            <w:tcW w:w="680" w:type="dxa"/>
            <w:vAlign w:val="bottom"/>
            <w:tcBorders>
              <w:bottom w:val="single" w:sz="8" w:color="CCCCCC"/>
            </w:tcBorders>
          </w:tcPr>
          <w:p>
            <w:pPr>
              <w:spacing w:after="0"/>
              <w:rPr>
                <w:sz w:val="4"/>
                <w:szCs w:val="4"/>
                <w:color w:val="auto"/>
              </w:rPr>
            </w:pPr>
          </w:p>
        </w:tc>
      </w:tr>
      <w:tr>
        <w:trPr>
          <w:trHeight w:val="324"/>
        </w:trPr>
        <w:tc>
          <w:tcPr>
            <w:tcW w:w="524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6"/>
                <w:szCs w:val="16"/>
                <w:b w:val="1"/>
                <w:bCs w:val="1"/>
                <w:color w:val="auto"/>
              </w:rPr>
              <w:t>Number of Meetings in Fiscal 2025</w:t>
            </w:r>
          </w:p>
        </w:tc>
        <w:tc>
          <w:tcPr>
            <w:tcW w:w="700" w:type="dxa"/>
            <w:vAlign w:val="bottom"/>
            <w:tcBorders>
              <w:bottom w:val="single" w:sz="8" w:color="EDFAEC"/>
            </w:tcBorders>
            <w:shd w:val="clear" w:color="auto" w:fill="EDFAEC"/>
          </w:tcPr>
          <w:p>
            <w:pPr>
              <w:ind w:left="260"/>
              <w:spacing w:after="0"/>
              <w:rPr>
                <w:sz w:val="20"/>
                <w:szCs w:val="20"/>
                <w:color w:val="auto"/>
              </w:rPr>
            </w:pPr>
            <w:r>
              <w:rPr>
                <w:rFonts w:ascii="Arial" w:cs="Arial" w:eastAsia="Arial" w:hAnsi="Arial"/>
                <w:sz w:val="16"/>
                <w:szCs w:val="16"/>
                <w:color w:val="212529"/>
              </w:rPr>
              <w:t>10</w:t>
            </w:r>
          </w:p>
        </w:tc>
        <w:tc>
          <w:tcPr>
            <w:tcW w:w="640" w:type="dxa"/>
            <w:vAlign w:val="bottom"/>
            <w:tcBorders>
              <w:bottom w:val="single" w:sz="8" w:color="EDFAEC"/>
            </w:tcBorders>
            <w:shd w:val="clear" w:color="auto" w:fill="EDFAEC"/>
          </w:tcPr>
          <w:p>
            <w:pPr>
              <w:jc w:val="right"/>
              <w:ind w:right="164"/>
              <w:spacing w:after="0"/>
              <w:rPr>
                <w:sz w:val="20"/>
                <w:szCs w:val="20"/>
                <w:color w:val="auto"/>
              </w:rPr>
            </w:pPr>
            <w:r>
              <w:rPr>
                <w:rFonts w:ascii="Arial" w:cs="Arial" w:eastAsia="Arial" w:hAnsi="Arial"/>
                <w:sz w:val="16"/>
                <w:szCs w:val="16"/>
                <w:color w:val="212529"/>
              </w:rPr>
              <w:t>4</w:t>
            </w:r>
          </w:p>
        </w:tc>
        <w:tc>
          <w:tcPr>
            <w:tcW w:w="820" w:type="dxa"/>
            <w:vAlign w:val="bottom"/>
            <w:tcBorders>
              <w:bottom w:val="single" w:sz="8" w:color="EDFAEC"/>
            </w:tcBorders>
            <w:shd w:val="clear" w:color="auto" w:fill="EDFAEC"/>
          </w:tcPr>
          <w:p>
            <w:pPr>
              <w:jc w:val="right"/>
              <w:ind w:right="284"/>
              <w:spacing w:after="0"/>
              <w:rPr>
                <w:sz w:val="20"/>
                <w:szCs w:val="20"/>
                <w:color w:val="auto"/>
              </w:rPr>
            </w:pPr>
            <w:r>
              <w:rPr>
                <w:rFonts w:ascii="Arial" w:cs="Arial" w:eastAsia="Arial" w:hAnsi="Arial"/>
                <w:sz w:val="16"/>
                <w:szCs w:val="16"/>
                <w:color w:val="212529"/>
              </w:rPr>
              <w:t>6</w:t>
            </w:r>
          </w:p>
        </w:tc>
        <w:tc>
          <w:tcPr>
            <w:tcW w:w="680" w:type="dxa"/>
            <w:vAlign w:val="bottom"/>
            <w:tcBorders>
              <w:bottom w:val="single" w:sz="8" w:color="EDFAEC"/>
            </w:tcBorders>
            <w:shd w:val="clear" w:color="auto" w:fill="EDFAEC"/>
          </w:tcPr>
          <w:p>
            <w:pPr>
              <w:jc w:val="right"/>
              <w:ind w:right="244"/>
              <w:spacing w:after="0"/>
              <w:rPr>
                <w:sz w:val="20"/>
                <w:szCs w:val="20"/>
                <w:color w:val="auto"/>
              </w:rPr>
            </w:pPr>
            <w:r>
              <w:rPr>
                <w:rFonts w:ascii="Arial" w:cs="Arial" w:eastAsia="Arial" w:hAnsi="Arial"/>
                <w:sz w:val="16"/>
                <w:szCs w:val="16"/>
                <w:color w:val="212529"/>
              </w:rPr>
              <w:t>4</w:t>
            </w:r>
          </w:p>
        </w:tc>
        <w:tc>
          <w:tcPr>
            <w:tcW w:w="680" w:type="dxa"/>
            <w:vAlign w:val="bottom"/>
            <w:tcBorders>
              <w:bottom w:val="single" w:sz="8" w:color="EDFAEC"/>
            </w:tcBorders>
            <w:shd w:val="clear" w:color="auto" w:fill="EDFAEC"/>
          </w:tcPr>
          <w:p>
            <w:pPr>
              <w:jc w:val="right"/>
              <w:ind w:right="224"/>
              <w:spacing w:after="0"/>
              <w:rPr>
                <w:sz w:val="20"/>
                <w:szCs w:val="20"/>
                <w:color w:val="auto"/>
              </w:rPr>
            </w:pPr>
            <w:r>
              <w:rPr>
                <w:rFonts w:ascii="Arial" w:cs="Arial" w:eastAsia="Arial" w:hAnsi="Arial"/>
                <w:sz w:val="16"/>
                <w:szCs w:val="16"/>
                <w:color w:val="212529"/>
              </w:rPr>
              <w:t>0</w:t>
            </w:r>
          </w:p>
        </w:tc>
      </w:tr>
      <w:tr>
        <w:trPr>
          <w:trHeight w:val="20"/>
        </w:trPr>
        <w:tc>
          <w:tcPr>
            <w:tcW w:w="5240" w:type="dxa"/>
            <w:vAlign w:val="bottom"/>
            <w:shd w:val="clear" w:color="auto" w:fill="431C5B"/>
          </w:tcPr>
          <w:p>
            <w:pPr>
              <w:spacing w:after="0" w:line="20" w:lineRule="exact"/>
              <w:rPr>
                <w:sz w:val="1"/>
                <w:szCs w:val="1"/>
                <w:color w:val="auto"/>
              </w:rPr>
            </w:pPr>
          </w:p>
        </w:tc>
        <w:tc>
          <w:tcPr>
            <w:tcW w:w="700" w:type="dxa"/>
            <w:vAlign w:val="bottom"/>
            <w:shd w:val="clear" w:color="auto" w:fill="431C5B"/>
          </w:tcPr>
          <w:p>
            <w:pPr>
              <w:spacing w:after="0" w:line="20" w:lineRule="exact"/>
              <w:rPr>
                <w:sz w:val="1"/>
                <w:szCs w:val="1"/>
                <w:color w:val="auto"/>
              </w:rPr>
            </w:pPr>
          </w:p>
        </w:tc>
        <w:tc>
          <w:tcPr>
            <w:tcW w:w="640" w:type="dxa"/>
            <w:vAlign w:val="bottom"/>
            <w:shd w:val="clear" w:color="auto" w:fill="431C5B"/>
          </w:tcPr>
          <w:p>
            <w:pPr>
              <w:spacing w:after="0" w:line="20" w:lineRule="exact"/>
              <w:rPr>
                <w:sz w:val="1"/>
                <w:szCs w:val="1"/>
                <w:color w:val="auto"/>
              </w:rPr>
            </w:pPr>
          </w:p>
        </w:tc>
        <w:tc>
          <w:tcPr>
            <w:tcW w:w="820" w:type="dxa"/>
            <w:vAlign w:val="bottom"/>
            <w:shd w:val="clear" w:color="auto" w:fill="431C5B"/>
          </w:tcPr>
          <w:p>
            <w:pPr>
              <w:spacing w:after="0" w:line="20" w:lineRule="exact"/>
              <w:rPr>
                <w:sz w:val="1"/>
                <w:szCs w:val="1"/>
                <w:color w:val="auto"/>
              </w:rPr>
            </w:pPr>
          </w:p>
        </w:tc>
        <w:tc>
          <w:tcPr>
            <w:tcW w:w="680" w:type="dxa"/>
            <w:vAlign w:val="bottom"/>
            <w:shd w:val="clear" w:color="auto" w:fill="431C5B"/>
          </w:tcPr>
          <w:p>
            <w:pPr>
              <w:spacing w:after="0" w:line="20" w:lineRule="exact"/>
              <w:rPr>
                <w:sz w:val="1"/>
                <w:szCs w:val="1"/>
                <w:color w:val="auto"/>
              </w:rPr>
            </w:pPr>
          </w:p>
        </w:tc>
        <w:tc>
          <w:tcPr>
            <w:tcW w:w="680" w:type="dxa"/>
            <w:vAlign w:val="bottom"/>
            <w:shd w:val="clear" w:color="auto" w:fill="431C5B"/>
          </w:tcPr>
          <w:p>
            <w:pPr>
              <w:spacing w:after="0" w:line="20" w:lineRule="exact"/>
              <w:rPr>
                <w:sz w:val="1"/>
                <w:szCs w:val="1"/>
                <w:color w:val="auto"/>
              </w:rPr>
            </w:pPr>
          </w:p>
        </w:tc>
      </w:tr>
    </w:tbl>
    <w:p>
      <w:pPr>
        <w:spacing w:after="0" w:line="140" w:lineRule="exact"/>
        <w:rPr>
          <w:sz w:val="20"/>
          <w:szCs w:val="20"/>
          <w:color w:val="auto"/>
        </w:rPr>
      </w:pPr>
    </w:p>
    <w:p>
      <w:pPr>
        <w:ind w:left="380" w:hanging="250"/>
        <w:spacing w:after="0"/>
        <w:tabs>
          <w:tab w:leader="none" w:pos="380" w:val="left"/>
        </w:tabs>
        <w:numPr>
          <w:ilvl w:val="0"/>
          <w:numId w:val="53"/>
        </w:numPr>
        <w:rPr>
          <w:rFonts w:ascii="Arial" w:cs="Arial" w:eastAsia="Arial" w:hAnsi="Arial"/>
          <w:sz w:val="16"/>
          <w:szCs w:val="16"/>
          <w:color w:val="auto"/>
          <w:vertAlign w:val="superscript"/>
        </w:rPr>
      </w:pPr>
      <w:r>
        <w:rPr>
          <w:rFonts w:ascii="Arial" w:cs="Arial" w:eastAsia="Arial" w:hAnsi="Arial"/>
          <w:sz w:val="13"/>
          <w:szCs w:val="13"/>
          <w:color w:val="auto"/>
        </w:rPr>
        <w:t>On March 30, 2026, Mr. Benjamin informed FIS that he would not be standing for re-election at the 2026 annual meeting of shareholders.</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Chair</w:t>
            </w:r>
          </w:p>
        </w:tc>
        <w:tc>
          <w:tcPr>
            <w:tcW w:w="880" w:type="dxa"/>
            <w:vAlign w:val="bottom"/>
          </w:tcPr>
          <w:p>
            <w:pPr>
              <w:ind w:left="240"/>
              <w:spacing w:after="0"/>
              <w:rPr>
                <w:sz w:val="20"/>
                <w:szCs w:val="20"/>
                <w:color w:val="auto"/>
              </w:rPr>
            </w:pPr>
            <w:r>
              <w:rPr>
                <w:rFonts w:ascii="Arial" w:cs="Arial" w:eastAsia="Arial" w:hAnsi="Arial"/>
                <w:sz w:val="16"/>
                <w:szCs w:val="16"/>
                <w:b w:val="1"/>
                <w:bCs w:val="1"/>
                <w:color w:val="auto"/>
              </w:rPr>
              <w:t>AC</w:t>
            </w:r>
          </w:p>
        </w:tc>
        <w:tc>
          <w:tcPr>
            <w:tcW w:w="4760" w:type="dxa"/>
            <w:vAlign w:val="bottom"/>
          </w:tcPr>
          <w:p>
            <w:pPr>
              <w:ind w:left="60"/>
              <w:spacing w:after="0"/>
              <w:rPr>
                <w:sz w:val="20"/>
                <w:szCs w:val="20"/>
                <w:color w:val="auto"/>
              </w:rPr>
            </w:pPr>
            <w:r>
              <w:rPr>
                <w:rFonts w:ascii="Arial" w:cs="Arial" w:eastAsia="Arial" w:hAnsi="Arial"/>
                <w:sz w:val="16"/>
                <w:szCs w:val="16"/>
                <w:color w:val="auto"/>
              </w:rPr>
              <w:t>Audit Committee</w:t>
            </w:r>
          </w:p>
        </w:tc>
      </w:tr>
      <w:tr>
        <w:trPr>
          <w:trHeight w:val="223"/>
        </w:trPr>
        <w:tc>
          <w:tcPr>
            <w:tcW w:w="840" w:type="dxa"/>
            <w:vAlign w:val="bottom"/>
          </w:tcPr>
          <w:p>
            <w:pPr>
              <w:spacing w:after="0"/>
              <w:rPr>
                <w:sz w:val="20"/>
                <w:szCs w:val="20"/>
                <w:color w:val="auto"/>
              </w:rPr>
            </w:pPr>
            <w:r>
              <w:rPr>
                <w:rFonts w:ascii="Arial" w:cs="Arial" w:eastAsia="Arial" w:hAnsi="Arial"/>
                <w:sz w:val="16"/>
                <w:szCs w:val="16"/>
                <w:color w:val="auto"/>
              </w:rPr>
              <w:t>Member</w:t>
            </w:r>
          </w:p>
        </w:tc>
        <w:tc>
          <w:tcPr>
            <w:tcW w:w="880" w:type="dxa"/>
            <w:vAlign w:val="bottom"/>
          </w:tcPr>
          <w:p>
            <w:pPr>
              <w:ind w:left="240"/>
              <w:spacing w:after="0"/>
              <w:rPr>
                <w:sz w:val="20"/>
                <w:szCs w:val="20"/>
                <w:color w:val="auto"/>
              </w:rPr>
            </w:pPr>
            <w:r>
              <w:rPr>
                <w:rFonts w:ascii="Arial" w:cs="Arial" w:eastAsia="Arial" w:hAnsi="Arial"/>
                <w:sz w:val="16"/>
                <w:szCs w:val="16"/>
                <w:b w:val="1"/>
                <w:bCs w:val="1"/>
                <w:color w:val="auto"/>
              </w:rPr>
              <w:t>CC</w:t>
            </w:r>
          </w:p>
        </w:tc>
        <w:tc>
          <w:tcPr>
            <w:tcW w:w="4760" w:type="dxa"/>
            <w:vAlign w:val="bottom"/>
          </w:tcPr>
          <w:p>
            <w:pPr>
              <w:ind w:left="60"/>
              <w:spacing w:after="0"/>
              <w:rPr>
                <w:sz w:val="20"/>
                <w:szCs w:val="20"/>
                <w:color w:val="auto"/>
              </w:rPr>
            </w:pPr>
            <w:r>
              <w:rPr>
                <w:rFonts w:ascii="Arial" w:cs="Arial" w:eastAsia="Arial" w:hAnsi="Arial"/>
                <w:sz w:val="16"/>
                <w:szCs w:val="16"/>
                <w:color w:val="auto"/>
              </w:rPr>
              <w:t>Compensation Committee</w:t>
            </w:r>
          </w:p>
        </w:tc>
      </w:tr>
      <w:tr>
        <w:trPr>
          <w:trHeight w:val="230"/>
        </w:trPr>
        <w:tc>
          <w:tcPr>
            <w:tcW w:w="84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6"/>
                <w:szCs w:val="16"/>
                <w:b w:val="1"/>
                <w:bCs w:val="1"/>
                <w:color w:val="auto"/>
              </w:rPr>
              <w:t>CGNSC</w:t>
            </w:r>
          </w:p>
        </w:tc>
        <w:tc>
          <w:tcPr>
            <w:tcW w:w="4760" w:type="dxa"/>
            <w:vAlign w:val="bottom"/>
          </w:tcPr>
          <w:p>
            <w:pPr>
              <w:ind w:left="60"/>
              <w:spacing w:after="0"/>
              <w:rPr>
                <w:sz w:val="20"/>
                <w:szCs w:val="20"/>
                <w:color w:val="auto"/>
              </w:rPr>
            </w:pPr>
            <w:r>
              <w:rPr>
                <w:rFonts w:ascii="Arial" w:cs="Arial" w:eastAsia="Arial" w:hAnsi="Arial"/>
                <w:sz w:val="16"/>
                <w:szCs w:val="16"/>
                <w:color w:val="auto"/>
              </w:rPr>
              <w:t>Corporate Governance, Nominating and Sustainability Committee</w:t>
            </w:r>
          </w:p>
        </w:tc>
      </w:tr>
      <w:tr>
        <w:trPr>
          <w:trHeight w:val="230"/>
        </w:trPr>
        <w:tc>
          <w:tcPr>
            <w:tcW w:w="84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6"/>
                <w:szCs w:val="16"/>
                <w:b w:val="1"/>
                <w:bCs w:val="1"/>
                <w:color w:val="auto"/>
              </w:rPr>
              <w:t>RTC</w:t>
            </w:r>
          </w:p>
        </w:tc>
        <w:tc>
          <w:tcPr>
            <w:tcW w:w="4760" w:type="dxa"/>
            <w:vAlign w:val="bottom"/>
          </w:tcPr>
          <w:p>
            <w:pPr>
              <w:ind w:left="60"/>
              <w:spacing w:after="0"/>
              <w:rPr>
                <w:sz w:val="20"/>
                <w:szCs w:val="20"/>
                <w:color w:val="auto"/>
              </w:rPr>
            </w:pPr>
            <w:r>
              <w:rPr>
                <w:rFonts w:ascii="Arial" w:cs="Arial" w:eastAsia="Arial" w:hAnsi="Arial"/>
                <w:sz w:val="16"/>
                <w:szCs w:val="16"/>
                <w:color w:val="auto"/>
              </w:rPr>
              <w:t>Risk and Technology Committee</w:t>
            </w:r>
          </w:p>
        </w:tc>
      </w:tr>
      <w:tr>
        <w:trPr>
          <w:trHeight w:val="229"/>
        </w:trPr>
        <w:tc>
          <w:tcPr>
            <w:tcW w:w="84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6"/>
                <w:szCs w:val="16"/>
                <w:b w:val="1"/>
                <w:bCs w:val="1"/>
                <w:color w:val="auto"/>
              </w:rPr>
              <w:t>EC</w:t>
            </w:r>
          </w:p>
        </w:tc>
        <w:tc>
          <w:tcPr>
            <w:tcW w:w="4760" w:type="dxa"/>
            <w:vAlign w:val="bottom"/>
          </w:tcPr>
          <w:p>
            <w:pPr>
              <w:ind w:left="60"/>
              <w:spacing w:after="0"/>
              <w:rPr>
                <w:sz w:val="20"/>
                <w:szCs w:val="20"/>
                <w:color w:val="auto"/>
              </w:rPr>
            </w:pPr>
            <w:r>
              <w:rPr>
                <w:rFonts w:ascii="Arial" w:cs="Arial" w:eastAsia="Arial" w:hAnsi="Arial"/>
                <w:sz w:val="16"/>
                <w:szCs w:val="16"/>
                <w:color w:val="auto"/>
              </w:rPr>
              <w:t>Executive Committee</w:t>
            </w:r>
          </w:p>
        </w:tc>
      </w:tr>
    </w:tbl>
    <w:p>
      <w:pPr>
        <w:spacing w:after="0" w:line="200" w:lineRule="exact"/>
        <w:rPr>
          <w:sz w:val="20"/>
          <w:szCs w:val="20"/>
          <w:color w:val="auto"/>
        </w:rPr>
      </w:pP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37</w:t>
      </w:r>
    </w:p>
    <w:p>
      <w:pPr>
        <w:sectPr>
          <w:pgSz w:w="11900" w:h="16838" w:orient="portrait"/>
          <w:cols w:equalWidth="0" w:num="1">
            <w:col w:w="9019"/>
          </w:cols>
          <w:pgMar w:left="1440" w:top="657" w:right="1440" w:bottom="1440" w:gutter="0" w:footer="0" w:header="0"/>
          <w:type w:val="continuous"/>
        </w:sectPr>
      </w:pPr>
    </w:p>
    <w:bookmarkStart w:id="40" w:name="page41"/>
    <w:bookmarkEnd w:id="40"/>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31C5B"/>
        </w:rPr>
        <w:t>Audit Committee</w:t>
      </w:r>
    </w:p>
    <w:p>
      <w:pPr>
        <w:spacing w:after="0" w:line="385" w:lineRule="exact"/>
        <w:rPr>
          <w:sz w:val="20"/>
          <w:szCs w:val="20"/>
          <w:color w:val="auto"/>
        </w:rPr>
      </w:pPr>
    </w:p>
    <w:tbl>
      <w:tblPr>
        <w:tblLayout w:type="fixed"/>
        <w:tblInd w:w="2060" w:type="dxa"/>
        <w:tblCellMar>
          <w:top w:w="0" w:type="dxa"/>
          <w:left w:w="0" w:type="dxa"/>
          <w:bottom w:w="0" w:type="dxa"/>
          <w:right w:w="0" w:type="dxa"/>
        </w:tblCellMar>
      </w:tblPr>
      <w:tr>
        <w:trPr>
          <w:trHeight w:val="389"/>
        </w:trPr>
        <w:tc>
          <w:tcPr>
            <w:tcW w:w="1820" w:type="dxa"/>
            <w:vAlign w:val="bottom"/>
            <w:shd w:val="clear" w:color="auto" w:fill="EDFAEC"/>
          </w:tcPr>
          <w:p>
            <w:pPr>
              <w:ind w:left="180"/>
              <w:spacing w:after="0"/>
              <w:rPr>
                <w:sz w:val="20"/>
                <w:szCs w:val="20"/>
                <w:color w:val="auto"/>
              </w:rPr>
            </w:pPr>
            <w:r>
              <w:rPr>
                <w:rFonts w:ascii="Arial" w:cs="Arial" w:eastAsia="Arial" w:hAnsi="Arial"/>
                <w:sz w:val="14"/>
                <w:szCs w:val="14"/>
                <w:color w:val="auto"/>
              </w:rPr>
              <w:t>2025 Meetings: 10</w:t>
            </w:r>
          </w:p>
        </w:tc>
        <w:tc>
          <w:tcPr>
            <w:tcW w:w="1980" w:type="dxa"/>
            <w:vAlign w:val="bottom"/>
            <w:shd w:val="clear" w:color="auto" w:fill="EDFAEC"/>
          </w:tcPr>
          <w:p>
            <w:pPr>
              <w:ind w:left="180"/>
              <w:spacing w:after="0"/>
              <w:rPr>
                <w:sz w:val="20"/>
                <w:szCs w:val="20"/>
                <w:color w:val="auto"/>
              </w:rPr>
            </w:pPr>
            <w:r>
              <w:rPr>
                <w:rFonts w:ascii="Arial" w:cs="Arial" w:eastAsia="Arial" w:hAnsi="Arial"/>
                <w:sz w:val="14"/>
                <w:szCs w:val="14"/>
                <w:color w:val="auto"/>
              </w:rPr>
              <w:t xml:space="preserve">2025 Attendance: </w:t>
            </w:r>
            <w:r>
              <w:rPr>
                <w:rFonts w:ascii="Arial" w:cs="Arial" w:eastAsia="Arial" w:hAnsi="Arial"/>
                <w:sz w:val="14"/>
                <w:szCs w:val="14"/>
                <w:b w:val="1"/>
                <w:bCs w:val="1"/>
                <w:color w:val="auto"/>
              </w:rPr>
              <w:t>94%</w:t>
            </w:r>
          </w:p>
        </w:tc>
        <w:tc>
          <w:tcPr>
            <w:tcW w:w="3020" w:type="dxa"/>
            <w:vAlign w:val="bottom"/>
            <w:shd w:val="clear" w:color="auto" w:fill="EDFAEC"/>
          </w:tcPr>
          <w:p>
            <w:pPr>
              <w:ind w:left="360"/>
              <w:spacing w:after="0"/>
              <w:rPr>
                <w:sz w:val="20"/>
                <w:szCs w:val="20"/>
                <w:color w:val="auto"/>
              </w:rPr>
            </w:pPr>
            <w:r>
              <w:rPr>
                <w:rFonts w:ascii="Arial" w:cs="Arial" w:eastAsia="Arial" w:hAnsi="Arial"/>
                <w:sz w:val="14"/>
                <w:szCs w:val="14"/>
                <w:color w:val="auto"/>
              </w:rPr>
              <w:t>Members: (As of April 13, 2026)</w:t>
            </w:r>
          </w:p>
        </w:tc>
      </w:tr>
      <w:tr>
        <w:trPr>
          <w:trHeight w:val="191"/>
        </w:trPr>
        <w:tc>
          <w:tcPr>
            <w:tcW w:w="1820" w:type="dxa"/>
            <w:vAlign w:val="bottom"/>
            <w:shd w:val="clear" w:color="auto" w:fill="EDFAEC"/>
          </w:tcPr>
          <w:p>
            <w:pPr>
              <w:spacing w:after="0"/>
              <w:rPr>
                <w:sz w:val="16"/>
                <w:szCs w:val="16"/>
                <w:color w:val="auto"/>
              </w:rPr>
            </w:pPr>
          </w:p>
        </w:tc>
        <w:tc>
          <w:tcPr>
            <w:tcW w:w="1980" w:type="dxa"/>
            <w:vAlign w:val="bottom"/>
            <w:shd w:val="clear" w:color="auto" w:fill="EDFAEC"/>
          </w:tcPr>
          <w:p>
            <w:pPr>
              <w:spacing w:after="0"/>
              <w:rPr>
                <w:sz w:val="16"/>
                <w:szCs w:val="16"/>
                <w:color w:val="auto"/>
              </w:rPr>
            </w:pPr>
          </w:p>
        </w:tc>
        <w:tc>
          <w:tcPr>
            <w:tcW w:w="3020" w:type="dxa"/>
            <w:vAlign w:val="bottom"/>
            <w:shd w:val="clear" w:color="auto" w:fill="EDFAEC"/>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tabs>
          <w:tab w:leader="none" w:pos="2700" w:val="left"/>
          <w:tab w:leader="none" w:pos="4060" w:val="left"/>
          <w:tab w:leader="none" w:pos="5980" w:val="left"/>
        </w:tabs>
        <w:rPr>
          <w:sz w:val="20"/>
          <w:szCs w:val="20"/>
          <w:color w:val="auto"/>
        </w:rPr>
      </w:pPr>
      <w:r>
        <w:rPr>
          <w:rFonts w:ascii="Arial" w:cs="Arial" w:eastAsia="Arial" w:hAnsi="Arial"/>
          <w:sz w:val="18"/>
          <w:szCs w:val="18"/>
          <w:b w:val="1"/>
          <w:bCs w:val="1"/>
          <w:color w:val="431C5B"/>
        </w:rPr>
        <w:t>Nicole M. Anasenes</w:t>
      </w:r>
      <w:r>
        <w:rPr>
          <w:sz w:val="20"/>
          <w:szCs w:val="20"/>
          <w:color w:val="auto"/>
        </w:rPr>
        <w:tab/>
      </w:r>
      <w:r>
        <w:rPr>
          <w:rFonts w:ascii="Arial" w:cs="Arial" w:eastAsia="Arial" w:hAnsi="Arial"/>
          <w:sz w:val="18"/>
          <w:szCs w:val="18"/>
          <w:b w:val="1"/>
          <w:bCs w:val="1"/>
          <w:color w:val="431C5B"/>
        </w:rPr>
        <w:t>Anil</w:t>
      </w:r>
      <w:r>
        <w:rPr>
          <w:sz w:val="20"/>
          <w:szCs w:val="20"/>
          <w:color w:val="auto"/>
        </w:rPr>
        <w:tab/>
      </w:r>
      <w:r>
        <w:rPr>
          <w:rFonts w:ascii="Arial" w:cs="Arial" w:eastAsia="Arial" w:hAnsi="Arial"/>
          <w:sz w:val="18"/>
          <w:szCs w:val="18"/>
          <w:b w:val="1"/>
          <w:bCs w:val="1"/>
          <w:color w:val="431C5B"/>
        </w:rPr>
        <w:t>Kourtney K.</w:t>
      </w:r>
      <w:r>
        <w:rPr>
          <w:sz w:val="20"/>
          <w:szCs w:val="20"/>
          <w:color w:val="auto"/>
        </w:rPr>
        <w:tab/>
      </w:r>
      <w:r>
        <w:rPr>
          <w:rFonts w:ascii="Arial" w:cs="Arial" w:eastAsia="Arial" w:hAnsi="Arial"/>
          <w:sz w:val="17"/>
          <w:szCs w:val="17"/>
          <w:b w:val="1"/>
          <w:bCs w:val="1"/>
          <w:color w:val="431C5B"/>
        </w:rPr>
        <w:t>Lisa A.</w:t>
      </w:r>
    </w:p>
    <w:p>
      <w:pPr>
        <w:spacing w:after="0" w:line="40" w:lineRule="exact"/>
        <w:rPr>
          <w:sz w:val="20"/>
          <w:szCs w:val="20"/>
          <w:color w:val="auto"/>
        </w:rPr>
      </w:pPr>
    </w:p>
    <w:p>
      <w:pPr>
        <w:ind w:left="860"/>
        <w:spacing w:after="0"/>
        <w:tabs>
          <w:tab w:leader="none" w:pos="2300" w:val="left"/>
          <w:tab w:leader="none" w:pos="4260" w:val="left"/>
          <w:tab w:leader="none" w:pos="6040" w:val="left"/>
        </w:tabs>
        <w:rPr>
          <w:sz w:val="20"/>
          <w:szCs w:val="20"/>
          <w:color w:val="auto"/>
        </w:rPr>
      </w:pPr>
      <w:r>
        <w:rPr>
          <w:rFonts w:ascii="Arial" w:cs="Arial" w:eastAsia="Arial" w:hAnsi="Arial"/>
          <w:sz w:val="16"/>
          <w:szCs w:val="16"/>
          <w:color w:val="431C5B"/>
        </w:rPr>
        <w:t>(Chair)</w:t>
      </w:r>
      <w:r>
        <w:rPr>
          <w:sz w:val="20"/>
          <w:szCs w:val="20"/>
          <w:color w:val="auto"/>
        </w:rPr>
        <w:tab/>
      </w:r>
      <w:r>
        <w:rPr>
          <w:rFonts w:ascii="Arial" w:cs="Arial" w:eastAsia="Arial" w:hAnsi="Arial"/>
          <w:sz w:val="18"/>
          <w:szCs w:val="18"/>
          <w:b w:val="1"/>
          <w:bCs w:val="1"/>
          <w:color w:val="431C5B"/>
        </w:rPr>
        <w:t>Chakravarthy</w:t>
      </w:r>
      <w:r>
        <w:rPr>
          <w:sz w:val="20"/>
          <w:szCs w:val="20"/>
          <w:color w:val="auto"/>
        </w:rPr>
        <w:tab/>
      </w:r>
      <w:r>
        <w:rPr>
          <w:rFonts w:ascii="Arial" w:cs="Arial" w:eastAsia="Arial" w:hAnsi="Arial"/>
          <w:sz w:val="18"/>
          <w:szCs w:val="18"/>
          <w:b w:val="1"/>
          <w:bCs w:val="1"/>
          <w:color w:val="431C5B"/>
        </w:rPr>
        <w:t>Gibson</w:t>
      </w:r>
      <w:r>
        <w:rPr>
          <w:sz w:val="20"/>
          <w:szCs w:val="20"/>
          <w:color w:val="auto"/>
        </w:rPr>
        <w:tab/>
      </w:r>
      <w:r>
        <w:rPr>
          <w:rFonts w:ascii="Arial" w:cs="Arial" w:eastAsia="Arial" w:hAnsi="Arial"/>
          <w:sz w:val="18"/>
          <w:szCs w:val="18"/>
          <w:b w:val="1"/>
          <w:bCs w:val="1"/>
          <w:color w:val="431C5B"/>
        </w:rPr>
        <w:t>Hook</w:t>
      </w:r>
    </w:p>
    <w:p>
      <w:pPr>
        <w:spacing w:after="0" w:line="226" w:lineRule="exact"/>
        <w:rPr>
          <w:sz w:val="20"/>
          <w:szCs w:val="20"/>
          <w:color w:val="auto"/>
        </w:rPr>
      </w:pPr>
    </w:p>
    <w:p>
      <w:pPr>
        <w:ind w:left="140" w:right="299"/>
        <w:spacing w:after="0" w:line="301" w:lineRule="auto"/>
        <w:rPr>
          <w:sz w:val="20"/>
          <w:szCs w:val="20"/>
          <w:color w:val="auto"/>
        </w:rPr>
      </w:pPr>
      <w:r>
        <w:rPr>
          <w:rFonts w:ascii="Arial" w:cs="Arial" w:eastAsia="Arial" w:hAnsi="Arial"/>
          <w:sz w:val="16"/>
          <w:szCs w:val="16"/>
          <w:color w:val="auto"/>
        </w:rPr>
        <w:t>The Board has determined that each of the Audit Committee members is financially literate and independent as required by the rules of the SEC and the NYSE, and that three of the four members are Audit Committee Financial Experts, as defined by the rules of the SEC.</w:t>
      </w:r>
    </w:p>
    <w:p>
      <w:pPr>
        <w:spacing w:after="0" w:line="104" w:lineRule="exact"/>
        <w:rPr>
          <w:sz w:val="20"/>
          <w:szCs w:val="20"/>
          <w:color w:val="auto"/>
        </w:rPr>
      </w:pPr>
    </w:p>
    <w:p>
      <w:pPr>
        <w:ind w:left="140" w:right="539"/>
        <w:spacing w:after="0" w:line="332" w:lineRule="auto"/>
        <w:rPr>
          <w:sz w:val="20"/>
          <w:szCs w:val="20"/>
          <w:color w:val="auto"/>
        </w:rPr>
      </w:pPr>
      <w:r>
        <w:rPr>
          <w:rFonts w:ascii="Arial" w:cs="Arial" w:eastAsia="Arial" w:hAnsi="Arial"/>
          <w:sz w:val="16"/>
          <w:szCs w:val="16"/>
          <w:color w:val="auto"/>
        </w:rPr>
        <w:t xml:space="preserve">The primary functions of the Audit Committee, as identified in its charter (which is available for review on the Investor Relations page of our website at </w:t>
      </w:r>
      <w:r>
        <w:rPr>
          <w:rFonts w:ascii="Arial" w:cs="Arial" w:eastAsia="Arial" w:hAnsi="Arial"/>
          <w:sz w:val="16"/>
          <w:szCs w:val="16"/>
          <w:b w:val="1"/>
          <w:bCs w:val="1"/>
          <w:color w:val="431C5B"/>
        </w:rPr>
        <w:t>www.fisglobal.com</w:t>
      </w:r>
      <w:r>
        <w:rPr>
          <w:rFonts w:ascii="Arial" w:cs="Arial" w:eastAsia="Arial" w:hAnsi="Arial"/>
          <w:sz w:val="16"/>
          <w:szCs w:val="16"/>
          <w:color w:val="auto"/>
        </w:rPr>
        <w:t>), are:</w:t>
      </w:r>
    </w:p>
    <w:p>
      <w:pPr>
        <w:spacing w:after="0" w:line="71" w:lineRule="exact"/>
        <w:rPr>
          <w:sz w:val="20"/>
          <w:szCs w:val="20"/>
          <w:color w:val="auto"/>
        </w:rPr>
      </w:pPr>
    </w:p>
    <w:p>
      <w:pPr>
        <w:ind w:left="320" w:right="319" w:hanging="190"/>
        <w:spacing w:after="0" w:line="316"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appointment, retention, compensation, and oversight of the work of the independent registered public accounting firm employed by the Company for the purpose of preparing or issuing an audit report or permitted related work;</w:t>
      </w:r>
    </w:p>
    <w:p>
      <w:pPr>
        <w:spacing w:after="0" w:line="1" w:lineRule="exact"/>
        <w:rPr>
          <w:rFonts w:ascii="Arial" w:cs="Arial" w:eastAsia="Arial" w:hAnsi="Arial"/>
          <w:sz w:val="16"/>
          <w:szCs w:val="16"/>
          <w:color w:val="auto"/>
        </w:rPr>
      </w:pPr>
    </w:p>
    <w:p>
      <w:pPr>
        <w:ind w:left="320" w:right="139" w:hanging="190"/>
        <w:spacing w:after="0" w:line="292"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the annual audited financial statements, the quarterly financial statements, and any internal control matters requiring attention, and any related disclosure, including disclosure related to related party transactions under ASC 850, before the filing of the Company’s Form 10-K and Forms 10-Q;</w:t>
      </w:r>
    </w:p>
    <w:p>
      <w:pPr>
        <w:spacing w:after="0" w:line="3" w:lineRule="exact"/>
        <w:rPr>
          <w:rFonts w:ascii="Arial" w:cs="Arial" w:eastAsia="Arial" w:hAnsi="Arial"/>
          <w:sz w:val="16"/>
          <w:szCs w:val="16"/>
          <w:color w:val="auto"/>
        </w:rPr>
      </w:pPr>
    </w:p>
    <w:p>
      <w:pPr>
        <w:ind w:left="320" w:hanging="190"/>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significant accounting policies and practices;</w:t>
      </w:r>
    </w:p>
    <w:p>
      <w:pPr>
        <w:spacing w:after="0" w:line="86" w:lineRule="exact"/>
        <w:rPr>
          <w:rFonts w:ascii="Arial" w:cs="Arial" w:eastAsia="Arial" w:hAnsi="Arial"/>
          <w:sz w:val="16"/>
          <w:szCs w:val="16"/>
          <w:color w:val="auto"/>
        </w:rPr>
      </w:pPr>
    </w:p>
    <w:p>
      <w:pPr>
        <w:ind w:left="320" w:right="659" w:hanging="190"/>
        <w:spacing w:after="0" w:line="308"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Oversight of the internal audit function, including audit plans, audit results, organization, responsibilities, budgets and staffing;</w:t>
      </w:r>
    </w:p>
    <w:p>
      <w:pPr>
        <w:ind w:left="320" w:right="279" w:hanging="190"/>
        <w:spacing w:after="0" w:line="308"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the quality, adequacy and effectiveness of the Company’s internal controls over financial reporting and any significant deficiencies or material weaknesses in internal controls over financial reporting;</w:t>
      </w:r>
    </w:p>
    <w:p>
      <w:pPr>
        <w:ind w:left="320" w:right="639" w:hanging="190"/>
        <w:spacing w:after="0" w:line="316"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Oversight of the Company’s compliance with legal, tax and regulatory requirements and the associated legal and compliance risks;</w:t>
      </w:r>
    </w:p>
    <w:p>
      <w:pPr>
        <w:spacing w:after="0" w:line="1" w:lineRule="exact"/>
        <w:rPr>
          <w:rFonts w:ascii="Arial" w:cs="Arial" w:eastAsia="Arial" w:hAnsi="Arial"/>
          <w:sz w:val="16"/>
          <w:szCs w:val="16"/>
          <w:color w:val="auto"/>
        </w:rPr>
      </w:pPr>
    </w:p>
    <w:p>
      <w:pPr>
        <w:ind w:left="320" w:hanging="190"/>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any legal matters that may have a material impact on the Company;</w:t>
      </w:r>
    </w:p>
    <w:p>
      <w:pPr>
        <w:spacing w:after="0" w:line="72" w:lineRule="exact"/>
        <w:rPr>
          <w:rFonts w:ascii="Arial" w:cs="Arial" w:eastAsia="Arial" w:hAnsi="Arial"/>
          <w:sz w:val="16"/>
          <w:szCs w:val="16"/>
          <w:color w:val="auto"/>
        </w:rPr>
      </w:pPr>
    </w:p>
    <w:p>
      <w:pPr>
        <w:ind w:left="320" w:right="159" w:hanging="190"/>
        <w:spacing w:after="0" w:line="287"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Ensuring that management has established procedures for (a) the receipt, retention and treatment of complaints received by the Company regarding accounting, internal accounting controls, auditing matters or potential violations of law and (b) the confidential, anonymous submission by employees of the Company of concerns regarding questionable accounting or auditing matters or potential violations of law, whether through the Company’s Ethics Helpline or otherwise; and</w:t>
      </w:r>
    </w:p>
    <w:p>
      <w:pPr>
        <w:spacing w:after="0" w:line="6" w:lineRule="exact"/>
        <w:rPr>
          <w:rFonts w:ascii="Arial" w:cs="Arial" w:eastAsia="Arial" w:hAnsi="Arial"/>
          <w:sz w:val="16"/>
          <w:szCs w:val="16"/>
          <w:color w:val="auto"/>
        </w:rPr>
      </w:pPr>
    </w:p>
    <w:p>
      <w:pPr>
        <w:ind w:left="320" w:right="179" w:hanging="190"/>
        <w:spacing w:after="0" w:line="292"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requests for and determining whether to grant or deny waivers of the Company’s Code of Business Conduct and Ethics applicable to senior financial and executive officers, monitoring the Company’s activities to enforce compliance with the Code of Business Conduct and Ethics.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 w:hanging="429"/>
        <w:spacing w:after="0"/>
        <w:tabs>
          <w:tab w:leader="none" w:pos="620" w:val="left"/>
        </w:tabs>
        <w:numPr>
          <w:ilvl w:val="0"/>
          <w:numId w:val="55"/>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41" w:name="page42"/>
    <w:bookmarkEnd w:id="41"/>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31C5B"/>
        </w:rPr>
        <w:t>Compensation Committee</w:t>
      </w:r>
    </w:p>
    <w:p>
      <w:pPr>
        <w:spacing w:after="0" w:line="385" w:lineRule="exact"/>
        <w:rPr>
          <w:sz w:val="20"/>
          <w:szCs w:val="20"/>
          <w:color w:val="auto"/>
        </w:rPr>
      </w:pPr>
    </w:p>
    <w:tbl>
      <w:tblPr>
        <w:tblLayout w:type="fixed"/>
        <w:tblInd w:w="2060" w:type="dxa"/>
        <w:tblCellMar>
          <w:top w:w="0" w:type="dxa"/>
          <w:left w:w="0" w:type="dxa"/>
          <w:bottom w:w="0" w:type="dxa"/>
          <w:right w:w="0" w:type="dxa"/>
        </w:tblCellMar>
      </w:tblPr>
      <w:tr>
        <w:trPr>
          <w:trHeight w:val="389"/>
        </w:trPr>
        <w:tc>
          <w:tcPr>
            <w:tcW w:w="1960" w:type="dxa"/>
            <w:vAlign w:val="bottom"/>
            <w:shd w:val="clear" w:color="auto" w:fill="EDFAEC"/>
          </w:tcPr>
          <w:p>
            <w:pPr>
              <w:ind w:left="180"/>
              <w:spacing w:after="0"/>
              <w:rPr>
                <w:sz w:val="20"/>
                <w:szCs w:val="20"/>
                <w:color w:val="auto"/>
              </w:rPr>
            </w:pPr>
            <w:r>
              <w:rPr>
                <w:rFonts w:ascii="Arial" w:cs="Arial" w:eastAsia="Arial" w:hAnsi="Arial"/>
                <w:sz w:val="14"/>
                <w:szCs w:val="14"/>
                <w:color w:val="auto"/>
              </w:rPr>
              <w:t>2025 Meetings: 4</w:t>
            </w:r>
          </w:p>
        </w:tc>
        <w:tc>
          <w:tcPr>
            <w:tcW w:w="1880" w:type="dxa"/>
            <w:vAlign w:val="bottom"/>
            <w:shd w:val="clear" w:color="auto" w:fill="EDFAEC"/>
          </w:tcPr>
          <w:p>
            <w:pPr>
              <w:ind w:left="40"/>
              <w:spacing w:after="0"/>
              <w:rPr>
                <w:sz w:val="20"/>
                <w:szCs w:val="20"/>
                <w:color w:val="auto"/>
              </w:rPr>
            </w:pPr>
            <w:r>
              <w:rPr>
                <w:rFonts w:ascii="Arial" w:cs="Arial" w:eastAsia="Arial" w:hAnsi="Arial"/>
                <w:sz w:val="14"/>
                <w:szCs w:val="14"/>
                <w:color w:val="auto"/>
              </w:rPr>
              <w:t>2025 Attendance: 100</w:t>
            </w:r>
            <w:r>
              <w:rPr>
                <w:rFonts w:ascii="Arial" w:cs="Arial" w:eastAsia="Arial" w:hAnsi="Arial"/>
                <w:sz w:val="14"/>
                <w:szCs w:val="14"/>
                <w:b w:val="1"/>
                <w:bCs w:val="1"/>
                <w:color w:val="auto"/>
              </w:rPr>
              <w:t>%</w:t>
            </w:r>
          </w:p>
        </w:tc>
        <w:tc>
          <w:tcPr>
            <w:tcW w:w="2980" w:type="dxa"/>
            <w:vAlign w:val="bottom"/>
            <w:shd w:val="clear" w:color="auto" w:fill="EDFAEC"/>
          </w:tcPr>
          <w:p>
            <w:pPr>
              <w:ind w:left="320"/>
              <w:spacing w:after="0"/>
              <w:rPr>
                <w:sz w:val="20"/>
                <w:szCs w:val="20"/>
                <w:color w:val="auto"/>
              </w:rPr>
            </w:pPr>
            <w:r>
              <w:rPr>
                <w:rFonts w:ascii="Arial" w:cs="Arial" w:eastAsia="Arial" w:hAnsi="Arial"/>
                <w:sz w:val="14"/>
                <w:szCs w:val="14"/>
                <w:color w:val="auto"/>
              </w:rPr>
              <w:t>Members: (As of April 13, 2026)</w:t>
            </w:r>
          </w:p>
        </w:tc>
      </w:tr>
      <w:tr>
        <w:trPr>
          <w:trHeight w:val="191"/>
        </w:trPr>
        <w:tc>
          <w:tcPr>
            <w:tcW w:w="1960" w:type="dxa"/>
            <w:vAlign w:val="bottom"/>
            <w:shd w:val="clear" w:color="auto" w:fill="EDFAEC"/>
          </w:tcPr>
          <w:p>
            <w:pPr>
              <w:spacing w:after="0"/>
              <w:rPr>
                <w:sz w:val="16"/>
                <w:szCs w:val="16"/>
                <w:color w:val="auto"/>
              </w:rPr>
            </w:pPr>
          </w:p>
        </w:tc>
        <w:tc>
          <w:tcPr>
            <w:tcW w:w="1880" w:type="dxa"/>
            <w:vAlign w:val="bottom"/>
            <w:shd w:val="clear" w:color="auto" w:fill="EDFAEC"/>
          </w:tcPr>
          <w:p>
            <w:pPr>
              <w:spacing w:after="0"/>
              <w:rPr>
                <w:sz w:val="16"/>
                <w:szCs w:val="16"/>
                <w:color w:val="auto"/>
              </w:rPr>
            </w:pPr>
          </w:p>
        </w:tc>
        <w:tc>
          <w:tcPr>
            <w:tcW w:w="2980" w:type="dxa"/>
            <w:vAlign w:val="bottom"/>
            <w:shd w:val="clear" w:color="auto" w:fill="EDFAEC"/>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spacing w:after="0"/>
        <w:tabs>
          <w:tab w:leader="none" w:pos="2560" w:val="left"/>
          <w:tab w:leader="none" w:pos="4160" w:val="left"/>
          <w:tab w:leader="none" w:pos="5800" w:val="left"/>
          <w:tab w:leader="none" w:pos="7600" w:val="left"/>
        </w:tabs>
        <w:rPr>
          <w:sz w:val="20"/>
          <w:szCs w:val="20"/>
          <w:color w:val="auto"/>
        </w:rPr>
      </w:pPr>
      <w:r>
        <w:rPr>
          <w:rFonts w:ascii="Arial" w:cs="Arial" w:eastAsia="Arial" w:hAnsi="Arial"/>
          <w:sz w:val="18"/>
          <w:szCs w:val="18"/>
          <w:b w:val="1"/>
          <w:bCs w:val="1"/>
          <w:color w:val="431C5B"/>
        </w:rPr>
        <w:t>Gary L. Lauer</w:t>
      </w:r>
      <w:r>
        <w:rPr>
          <w:sz w:val="20"/>
          <w:szCs w:val="20"/>
          <w:color w:val="auto"/>
        </w:rPr>
        <w:tab/>
      </w:r>
      <w:r>
        <w:rPr>
          <w:rFonts w:ascii="Arial" w:cs="Arial" w:eastAsia="Arial" w:hAnsi="Arial"/>
          <w:sz w:val="18"/>
          <w:szCs w:val="18"/>
          <w:b w:val="1"/>
          <w:bCs w:val="1"/>
          <w:color w:val="431C5B"/>
        </w:rPr>
        <w:t>Mark D.</w:t>
      </w:r>
      <w:r>
        <w:rPr>
          <w:sz w:val="20"/>
          <w:szCs w:val="20"/>
          <w:color w:val="auto"/>
        </w:rPr>
        <w:tab/>
      </w:r>
      <w:r>
        <w:rPr>
          <w:rFonts w:ascii="Arial" w:cs="Arial" w:eastAsia="Arial" w:hAnsi="Arial"/>
          <w:sz w:val="18"/>
          <w:szCs w:val="18"/>
          <w:b w:val="1"/>
          <w:bCs w:val="1"/>
          <w:color w:val="431C5B"/>
        </w:rPr>
        <w:t>Jeffrey A.</w:t>
      </w:r>
      <w:r>
        <w:rPr>
          <w:sz w:val="20"/>
          <w:szCs w:val="20"/>
          <w:color w:val="auto"/>
        </w:rPr>
        <w:tab/>
      </w:r>
      <w:r>
        <w:rPr>
          <w:rFonts w:ascii="Arial" w:cs="Arial" w:eastAsia="Arial" w:hAnsi="Arial"/>
          <w:sz w:val="18"/>
          <w:szCs w:val="18"/>
          <w:b w:val="1"/>
          <w:bCs w:val="1"/>
          <w:color w:val="431C5B"/>
        </w:rPr>
        <w:t>Kenneth T.</w:t>
      </w:r>
      <w:r>
        <w:rPr>
          <w:sz w:val="20"/>
          <w:szCs w:val="20"/>
          <w:color w:val="auto"/>
        </w:rPr>
        <w:tab/>
      </w:r>
      <w:r>
        <w:rPr>
          <w:rFonts w:ascii="Arial" w:cs="Arial" w:eastAsia="Arial" w:hAnsi="Arial"/>
          <w:sz w:val="17"/>
          <w:szCs w:val="17"/>
          <w:b w:val="1"/>
          <w:bCs w:val="1"/>
          <w:color w:val="431C5B"/>
        </w:rPr>
        <w:t>James B.</w:t>
      </w:r>
    </w:p>
    <w:p>
      <w:pPr>
        <w:spacing w:after="0" w:line="40" w:lineRule="exact"/>
        <w:rPr>
          <w:sz w:val="20"/>
          <w:szCs w:val="20"/>
          <w:color w:val="auto"/>
        </w:rPr>
      </w:pPr>
    </w:p>
    <w:p>
      <w:pPr>
        <w:ind w:left="860"/>
        <w:spacing w:after="0"/>
        <w:tabs>
          <w:tab w:leader="none" w:pos="2480" w:val="left"/>
          <w:tab w:leader="none" w:pos="4160" w:val="left"/>
          <w:tab w:leader="none" w:pos="5880" w:val="left"/>
          <w:tab w:leader="none" w:pos="7460" w:val="left"/>
        </w:tabs>
        <w:rPr>
          <w:sz w:val="20"/>
          <w:szCs w:val="20"/>
          <w:color w:val="auto"/>
        </w:rPr>
      </w:pPr>
      <w:r>
        <w:rPr>
          <w:rFonts w:ascii="Arial" w:cs="Arial" w:eastAsia="Arial" w:hAnsi="Arial"/>
          <w:sz w:val="16"/>
          <w:szCs w:val="16"/>
          <w:color w:val="431C5B"/>
        </w:rPr>
        <w:t>(Chair)</w:t>
      </w:r>
      <w:r>
        <w:rPr>
          <w:sz w:val="20"/>
          <w:szCs w:val="20"/>
          <w:color w:val="auto"/>
        </w:rPr>
        <w:tab/>
      </w:r>
      <w:r>
        <w:rPr>
          <w:rFonts w:ascii="Arial" w:cs="Arial" w:eastAsia="Arial" w:hAnsi="Arial"/>
          <w:sz w:val="18"/>
          <w:szCs w:val="18"/>
          <w:b w:val="1"/>
          <w:bCs w:val="1"/>
          <w:color w:val="431C5B"/>
        </w:rPr>
        <w:t>Benjamin</w:t>
      </w:r>
      <w:r>
        <w:rPr>
          <w:sz w:val="20"/>
          <w:szCs w:val="20"/>
          <w:color w:val="auto"/>
        </w:rPr>
        <w:tab/>
      </w:r>
      <w:r>
        <w:rPr>
          <w:rFonts w:ascii="Arial" w:cs="Arial" w:eastAsia="Arial" w:hAnsi="Arial"/>
          <w:sz w:val="18"/>
          <w:szCs w:val="18"/>
          <w:b w:val="1"/>
          <w:bCs w:val="1"/>
          <w:color w:val="431C5B"/>
        </w:rPr>
        <w:t>Goldstein</w:t>
      </w:r>
      <w:r>
        <w:rPr>
          <w:sz w:val="20"/>
          <w:szCs w:val="20"/>
          <w:color w:val="auto"/>
        </w:rPr>
        <w:tab/>
      </w:r>
      <w:r>
        <w:rPr>
          <w:rFonts w:ascii="Arial" w:cs="Arial" w:eastAsia="Arial" w:hAnsi="Arial"/>
          <w:sz w:val="18"/>
          <w:szCs w:val="18"/>
          <w:b w:val="1"/>
          <w:bCs w:val="1"/>
          <w:color w:val="431C5B"/>
        </w:rPr>
        <w:t>Lamneck</w:t>
      </w:r>
      <w:r>
        <w:rPr>
          <w:sz w:val="20"/>
          <w:szCs w:val="20"/>
          <w:color w:val="auto"/>
        </w:rPr>
        <w:tab/>
      </w:r>
      <w:r>
        <w:rPr>
          <w:rFonts w:ascii="Arial" w:cs="Arial" w:eastAsia="Arial" w:hAnsi="Arial"/>
          <w:sz w:val="17"/>
          <w:szCs w:val="17"/>
          <w:b w:val="1"/>
          <w:bCs w:val="1"/>
          <w:color w:val="431C5B"/>
        </w:rPr>
        <w:t>Stallings, Jr.</w:t>
      </w:r>
    </w:p>
    <w:p>
      <w:pPr>
        <w:spacing w:after="0" w:line="28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Mr. Benjamin is not standing for re-election at the 2026 annual meeting of shareholders.</w:t>
      </w:r>
    </w:p>
    <w:p>
      <w:pPr>
        <w:spacing w:after="0" w:line="194" w:lineRule="exact"/>
        <w:rPr>
          <w:sz w:val="20"/>
          <w:szCs w:val="20"/>
          <w:color w:val="auto"/>
        </w:rPr>
      </w:pPr>
    </w:p>
    <w:p>
      <w:pPr>
        <w:ind w:left="140" w:right="499"/>
        <w:spacing w:after="0" w:line="292" w:lineRule="auto"/>
        <w:rPr>
          <w:sz w:val="20"/>
          <w:szCs w:val="20"/>
          <w:color w:val="auto"/>
        </w:rPr>
      </w:pPr>
      <w:r>
        <w:rPr>
          <w:rFonts w:ascii="Arial" w:cs="Arial" w:eastAsia="Arial" w:hAnsi="Arial"/>
          <w:sz w:val="16"/>
          <w:szCs w:val="16"/>
          <w:color w:val="auto"/>
        </w:rPr>
        <w:t>The Board has determined that each of the Compensation Committee members is independent under the heightened independence standards required by the NYSE for compensation committee members and the rules under the Exchange Act.</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primary functions of the Compensation Committee, as identified in its charter (which is available for review on the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Investor Relations page of our website at </w:t>
      </w:r>
      <w:r>
        <w:rPr>
          <w:rFonts w:ascii="Arial" w:cs="Arial" w:eastAsia="Arial" w:hAnsi="Arial"/>
          <w:sz w:val="16"/>
          <w:szCs w:val="16"/>
          <w:b w:val="1"/>
          <w:bCs w:val="1"/>
          <w:color w:val="431C5B"/>
        </w:rPr>
        <w:t>www.fisglobal.com</w:t>
      </w:r>
      <w:r>
        <w:rPr>
          <w:rFonts w:ascii="Arial" w:cs="Arial" w:eastAsia="Arial" w:hAnsi="Arial"/>
          <w:sz w:val="16"/>
          <w:szCs w:val="16"/>
          <w:color w:val="auto"/>
        </w:rPr>
        <w:t>), are:</w:t>
      </w:r>
    </w:p>
    <w:p>
      <w:pPr>
        <w:spacing w:after="0" w:line="182" w:lineRule="exact"/>
        <w:rPr>
          <w:sz w:val="20"/>
          <w:szCs w:val="20"/>
          <w:color w:val="auto"/>
        </w:rPr>
      </w:pPr>
    </w:p>
    <w:p>
      <w:pPr>
        <w:ind w:left="320" w:right="559" w:hanging="190"/>
        <w:spacing w:after="0" w:line="292"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and approving corporate goals and objectives relevant to the compensation of the CEO, evaluating the CEO’s performance in light of those goals and objectives and determining the CEO’s compensation based on such evaluation;</w:t>
      </w:r>
    </w:p>
    <w:p>
      <w:pPr>
        <w:spacing w:after="0" w:line="16" w:lineRule="exact"/>
        <w:rPr>
          <w:rFonts w:ascii="Arial" w:cs="Arial" w:eastAsia="Arial" w:hAnsi="Arial"/>
          <w:sz w:val="16"/>
          <w:szCs w:val="16"/>
          <w:color w:val="auto"/>
        </w:rPr>
      </w:pPr>
    </w:p>
    <w:p>
      <w:pPr>
        <w:ind w:left="320" w:right="179" w:hanging="190"/>
        <w:spacing w:after="0" w:line="304"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Setting salaries and approving employment agreements, equity and incentive compensation awards and compensation policies for all executive officers;</w:t>
      </w:r>
    </w:p>
    <w:p>
      <w:pPr>
        <w:spacing w:after="0" w:line="6" w:lineRule="exact"/>
        <w:rPr>
          <w:rFonts w:ascii="Arial" w:cs="Arial" w:eastAsia="Arial" w:hAnsi="Arial"/>
          <w:sz w:val="16"/>
          <w:szCs w:val="16"/>
          <w:color w:val="auto"/>
        </w:rPr>
      </w:pPr>
    </w:p>
    <w:p>
      <w:pPr>
        <w:ind w:left="320" w:right="179" w:hanging="190"/>
        <w:spacing w:after="0" w:line="308"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equity compensation awards made to any officers or other employees of the Company (other than executive officers) by the CEO pursuant to a delegation of authority by the Board;</w:t>
      </w:r>
    </w:p>
    <w:p>
      <w:pPr>
        <w:ind w:left="320" w:hanging="190"/>
        <w:spacing w:after="0"/>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Approving any new or revised compensation and benefit plans applicable to executive officers;</w:t>
      </w:r>
    </w:p>
    <w:p>
      <w:pPr>
        <w:spacing w:after="0" w:line="86" w:lineRule="exact"/>
        <w:rPr>
          <w:rFonts w:ascii="Arial" w:cs="Arial" w:eastAsia="Arial" w:hAnsi="Arial"/>
          <w:sz w:val="16"/>
          <w:szCs w:val="16"/>
          <w:color w:val="auto"/>
        </w:rPr>
      </w:pPr>
    </w:p>
    <w:p>
      <w:pPr>
        <w:ind w:left="320" w:right="559" w:hanging="190"/>
        <w:spacing w:after="0" w:line="304"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Establishing and monitoring compliance with any stock ownership and holding guidelines of the Company that are applicable to executive officers or directors;</w:t>
      </w:r>
    </w:p>
    <w:p>
      <w:pPr>
        <w:spacing w:after="0" w:line="6" w:lineRule="exact"/>
        <w:rPr>
          <w:rFonts w:ascii="Arial" w:cs="Arial" w:eastAsia="Arial" w:hAnsi="Arial"/>
          <w:sz w:val="16"/>
          <w:szCs w:val="16"/>
          <w:color w:val="auto"/>
        </w:rPr>
      </w:pPr>
    </w:p>
    <w:p>
      <w:pPr>
        <w:jc w:val="both"/>
        <w:ind w:left="320" w:right="459" w:hanging="190"/>
        <w:spacing w:after="0" w:line="292"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the Company’s incentive compensation practices, policies and programs for executive officers and other employees to determine whether such practices, policies and programs create undesired or unintentional risks and whether any such risks are reasonably likely to have a material adverse effect on the Company;</w:t>
      </w:r>
    </w:p>
    <w:p>
      <w:pPr>
        <w:spacing w:after="0" w:line="16" w:lineRule="exact"/>
        <w:rPr>
          <w:rFonts w:ascii="Arial" w:cs="Arial" w:eastAsia="Arial" w:hAnsi="Arial"/>
          <w:sz w:val="16"/>
          <w:szCs w:val="16"/>
          <w:color w:val="auto"/>
        </w:rPr>
      </w:pPr>
    </w:p>
    <w:p>
      <w:pPr>
        <w:ind w:left="320" w:right="799" w:hanging="190"/>
        <w:spacing w:after="0" w:line="304"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Recommending action to the Board to create, authorize, approve, amend and/or terminate any new or existing compensation and benefit plans that apply to the non-employee members of the Board;</w:t>
      </w:r>
    </w:p>
    <w:p>
      <w:pPr>
        <w:spacing w:after="0" w:line="6" w:lineRule="exact"/>
        <w:rPr>
          <w:rFonts w:ascii="Arial" w:cs="Arial" w:eastAsia="Arial" w:hAnsi="Arial"/>
          <w:sz w:val="16"/>
          <w:szCs w:val="16"/>
          <w:color w:val="auto"/>
        </w:rPr>
      </w:pPr>
    </w:p>
    <w:p>
      <w:pPr>
        <w:ind w:left="320" w:right="419" w:hanging="190"/>
        <w:spacing w:after="0" w:line="308"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and approving on an annual basis the Compensation Discussion and Analysis section for inclusion in the Company’s annual Proxy Statement;</w:t>
      </w:r>
    </w:p>
    <w:p>
      <w:pPr>
        <w:ind w:left="320" w:right="739" w:hanging="190"/>
        <w:spacing w:after="0" w:line="292"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and approving the implementation or revision of (i) the Company’s clawback policies mandated by applicable law, regulation, or NYSE rules and (ii) any other policy allowing the Company to recoup, clawback or otherwise recover compensation paid to current or former executive officers or other employees; and</w:t>
      </w:r>
    </w:p>
    <w:p>
      <w:pPr>
        <w:spacing w:after="0" w:line="16" w:lineRule="exact"/>
        <w:rPr>
          <w:rFonts w:ascii="Arial" w:cs="Arial" w:eastAsia="Arial" w:hAnsi="Arial"/>
          <w:sz w:val="16"/>
          <w:szCs w:val="16"/>
          <w:color w:val="auto"/>
        </w:rPr>
      </w:pPr>
    </w:p>
    <w:p>
      <w:pPr>
        <w:ind w:left="320" w:hanging="190"/>
        <w:spacing w:after="0"/>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and approving policies concerning perquisites and personal benefits for executive officers.</w:t>
      </w:r>
    </w:p>
    <w:p>
      <w:pPr>
        <w:spacing w:after="0" w:line="194" w:lineRule="exact"/>
        <w:rPr>
          <w:sz w:val="20"/>
          <w:szCs w:val="20"/>
          <w:color w:val="auto"/>
        </w:rPr>
      </w:pPr>
    </w:p>
    <w:p>
      <w:pPr>
        <w:ind w:left="140" w:right="139"/>
        <w:spacing w:after="0" w:line="292" w:lineRule="auto"/>
        <w:rPr>
          <w:sz w:val="20"/>
          <w:szCs w:val="20"/>
          <w:color w:val="auto"/>
        </w:rPr>
      </w:pPr>
      <w:r>
        <w:rPr>
          <w:rFonts w:ascii="Arial" w:cs="Arial" w:eastAsia="Arial" w:hAnsi="Arial"/>
          <w:sz w:val="16"/>
          <w:szCs w:val="16"/>
          <w:color w:val="auto"/>
        </w:rPr>
        <w:t>Subject to limits set forth in its charter, the Compensation Committee may delegate certain of its powers, including the responsibility for the day-to-day management of the Company’s executive compensation programs, including the Qualified Retirement Equity Program.</w:t>
      </w:r>
    </w:p>
    <w:p>
      <w:pPr>
        <w:spacing w:after="0" w:line="113" w:lineRule="exact"/>
        <w:rPr>
          <w:sz w:val="20"/>
          <w:szCs w:val="20"/>
          <w:color w:val="auto"/>
        </w:rPr>
      </w:pPr>
    </w:p>
    <w:p>
      <w:pPr>
        <w:ind w:left="140" w:right="479"/>
        <w:spacing w:after="0" w:line="319" w:lineRule="auto"/>
        <w:rPr>
          <w:sz w:val="20"/>
          <w:szCs w:val="20"/>
          <w:color w:val="auto"/>
        </w:rPr>
      </w:pPr>
      <w:r>
        <w:rPr>
          <w:rFonts w:ascii="Arial" w:cs="Arial" w:eastAsia="Arial" w:hAnsi="Arial"/>
          <w:sz w:val="16"/>
          <w:szCs w:val="16"/>
          <w:i w:val="1"/>
          <w:iCs w:val="1"/>
          <w:color w:val="auto"/>
        </w:rPr>
        <w:t>For more information regarding the responsibilities of the Compensation Committee, please refer to the section of this proxy statement entitled “Compensation Discussion and Analysis” beginning on page 48.</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39</w:t>
      </w:r>
    </w:p>
    <w:p>
      <w:pPr>
        <w:sectPr>
          <w:pgSz w:w="11900" w:h="16838" w:orient="portrait"/>
          <w:cols w:equalWidth="0" w:num="1">
            <w:col w:w="9019"/>
          </w:cols>
          <w:pgMar w:left="1440" w:top="657" w:right="1440" w:bottom="1440" w:gutter="0" w:footer="0" w:header="0"/>
          <w:type w:val="continuous"/>
        </w:sectPr>
      </w:pPr>
    </w:p>
    <w:bookmarkStart w:id="42" w:name="page43"/>
    <w:bookmarkEnd w:id="42"/>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31C5B"/>
        </w:rPr>
        <w:t>Corporate Governance, Nominating and Sustainability Committee</w:t>
      </w:r>
    </w:p>
    <w:p>
      <w:pPr>
        <w:spacing w:after="0" w:line="385" w:lineRule="exact"/>
        <w:rPr>
          <w:sz w:val="20"/>
          <w:szCs w:val="20"/>
          <w:color w:val="auto"/>
        </w:rPr>
      </w:pPr>
    </w:p>
    <w:tbl>
      <w:tblPr>
        <w:tblLayout w:type="fixed"/>
        <w:tblInd w:w="2060" w:type="dxa"/>
        <w:tblCellMar>
          <w:top w:w="0" w:type="dxa"/>
          <w:left w:w="0" w:type="dxa"/>
          <w:bottom w:w="0" w:type="dxa"/>
          <w:right w:w="0" w:type="dxa"/>
        </w:tblCellMar>
      </w:tblPr>
      <w:tr>
        <w:trPr>
          <w:trHeight w:val="389"/>
        </w:trPr>
        <w:tc>
          <w:tcPr>
            <w:tcW w:w="1960" w:type="dxa"/>
            <w:vAlign w:val="bottom"/>
            <w:shd w:val="clear" w:color="auto" w:fill="EDFAEC"/>
          </w:tcPr>
          <w:p>
            <w:pPr>
              <w:ind w:left="180"/>
              <w:spacing w:after="0"/>
              <w:rPr>
                <w:sz w:val="20"/>
                <w:szCs w:val="20"/>
                <w:color w:val="auto"/>
              </w:rPr>
            </w:pPr>
            <w:r>
              <w:rPr>
                <w:rFonts w:ascii="Arial" w:cs="Arial" w:eastAsia="Arial" w:hAnsi="Arial"/>
                <w:sz w:val="14"/>
                <w:szCs w:val="14"/>
                <w:color w:val="auto"/>
              </w:rPr>
              <w:t>2025 Meetings: 6</w:t>
            </w:r>
          </w:p>
        </w:tc>
        <w:tc>
          <w:tcPr>
            <w:tcW w:w="1840" w:type="dxa"/>
            <w:vAlign w:val="bottom"/>
            <w:shd w:val="clear" w:color="auto" w:fill="EDFAEC"/>
          </w:tcPr>
          <w:p>
            <w:pPr>
              <w:ind w:left="40"/>
              <w:spacing w:after="0"/>
              <w:rPr>
                <w:sz w:val="20"/>
                <w:szCs w:val="20"/>
                <w:color w:val="auto"/>
              </w:rPr>
            </w:pPr>
            <w:r>
              <w:rPr>
                <w:rFonts w:ascii="Arial" w:cs="Arial" w:eastAsia="Arial" w:hAnsi="Arial"/>
                <w:sz w:val="14"/>
                <w:szCs w:val="14"/>
                <w:color w:val="auto"/>
              </w:rPr>
              <w:t xml:space="preserve">2025 Attendance: </w:t>
            </w:r>
            <w:r>
              <w:rPr>
                <w:rFonts w:ascii="Arial" w:cs="Arial" w:eastAsia="Arial" w:hAnsi="Arial"/>
                <w:sz w:val="14"/>
                <w:szCs w:val="14"/>
                <w:b w:val="1"/>
                <w:bCs w:val="1"/>
                <w:color w:val="auto"/>
              </w:rPr>
              <w:t>96%</w:t>
            </w:r>
          </w:p>
        </w:tc>
        <w:tc>
          <w:tcPr>
            <w:tcW w:w="3020" w:type="dxa"/>
            <w:vAlign w:val="bottom"/>
            <w:shd w:val="clear" w:color="auto" w:fill="EDFAEC"/>
          </w:tcPr>
          <w:p>
            <w:pPr>
              <w:ind w:left="360"/>
              <w:spacing w:after="0"/>
              <w:rPr>
                <w:sz w:val="20"/>
                <w:szCs w:val="20"/>
                <w:color w:val="auto"/>
              </w:rPr>
            </w:pPr>
            <w:r>
              <w:rPr>
                <w:rFonts w:ascii="Arial" w:cs="Arial" w:eastAsia="Arial" w:hAnsi="Arial"/>
                <w:sz w:val="14"/>
                <w:szCs w:val="14"/>
                <w:color w:val="auto"/>
              </w:rPr>
              <w:t>Members: (As of April 13, 2026)</w:t>
            </w:r>
          </w:p>
        </w:tc>
      </w:tr>
      <w:tr>
        <w:trPr>
          <w:trHeight w:val="191"/>
        </w:trPr>
        <w:tc>
          <w:tcPr>
            <w:tcW w:w="1960" w:type="dxa"/>
            <w:vAlign w:val="bottom"/>
            <w:shd w:val="clear" w:color="auto" w:fill="EDFAEC"/>
          </w:tcPr>
          <w:p>
            <w:pPr>
              <w:spacing w:after="0"/>
              <w:rPr>
                <w:sz w:val="16"/>
                <w:szCs w:val="16"/>
                <w:color w:val="auto"/>
              </w:rPr>
            </w:pPr>
          </w:p>
        </w:tc>
        <w:tc>
          <w:tcPr>
            <w:tcW w:w="1840" w:type="dxa"/>
            <w:vAlign w:val="bottom"/>
            <w:shd w:val="clear" w:color="auto" w:fill="EDFAEC"/>
          </w:tcPr>
          <w:p>
            <w:pPr>
              <w:spacing w:after="0"/>
              <w:rPr>
                <w:sz w:val="16"/>
                <w:szCs w:val="16"/>
                <w:color w:val="auto"/>
              </w:rPr>
            </w:pPr>
          </w:p>
        </w:tc>
        <w:tc>
          <w:tcPr>
            <w:tcW w:w="3020" w:type="dxa"/>
            <w:vAlign w:val="bottom"/>
            <w:shd w:val="clear" w:color="auto" w:fill="EDFAEC"/>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tabs>
          <w:tab w:leader="none" w:pos="2460" w:val="left"/>
          <w:tab w:leader="none" w:pos="4260" w:val="left"/>
          <w:tab w:leader="none" w:pos="5880" w:val="left"/>
        </w:tabs>
        <w:rPr>
          <w:sz w:val="20"/>
          <w:szCs w:val="20"/>
          <w:color w:val="auto"/>
        </w:rPr>
      </w:pPr>
      <w:r>
        <w:rPr>
          <w:rFonts w:ascii="Arial" w:cs="Arial" w:eastAsia="Arial" w:hAnsi="Arial"/>
          <w:sz w:val="18"/>
          <w:szCs w:val="18"/>
          <w:b w:val="1"/>
          <w:bCs w:val="1"/>
          <w:color w:val="431C5B"/>
        </w:rPr>
        <w:t>Kenneth T. Lamneck</w:t>
      </w:r>
      <w:r>
        <w:rPr>
          <w:sz w:val="20"/>
          <w:szCs w:val="20"/>
          <w:color w:val="auto"/>
        </w:rPr>
        <w:tab/>
      </w:r>
      <w:r>
        <w:rPr>
          <w:rFonts w:ascii="Arial" w:cs="Arial" w:eastAsia="Arial" w:hAnsi="Arial"/>
          <w:sz w:val="18"/>
          <w:szCs w:val="18"/>
          <w:b w:val="1"/>
          <w:bCs w:val="1"/>
          <w:color w:val="431C5B"/>
        </w:rPr>
        <w:t>Jeffrey A.</w:t>
      </w:r>
      <w:r>
        <w:rPr>
          <w:sz w:val="20"/>
          <w:szCs w:val="20"/>
          <w:color w:val="auto"/>
        </w:rPr>
        <w:tab/>
      </w:r>
      <w:r>
        <w:rPr>
          <w:rFonts w:ascii="Arial" w:cs="Arial" w:eastAsia="Arial" w:hAnsi="Arial"/>
          <w:sz w:val="18"/>
          <w:szCs w:val="18"/>
          <w:b w:val="1"/>
          <w:bCs w:val="1"/>
          <w:color w:val="431C5B"/>
        </w:rPr>
        <w:t>Gary L.</w:t>
      </w:r>
      <w:r>
        <w:rPr>
          <w:sz w:val="20"/>
          <w:szCs w:val="20"/>
          <w:color w:val="auto"/>
        </w:rPr>
        <w:tab/>
      </w:r>
      <w:r>
        <w:rPr>
          <w:rFonts w:ascii="Arial" w:cs="Arial" w:eastAsia="Arial" w:hAnsi="Arial"/>
          <w:sz w:val="17"/>
          <w:szCs w:val="17"/>
          <w:b w:val="1"/>
          <w:bCs w:val="1"/>
          <w:color w:val="431C5B"/>
        </w:rPr>
        <w:t>James B.</w:t>
      </w:r>
    </w:p>
    <w:p>
      <w:pPr>
        <w:spacing w:after="0" w:line="40" w:lineRule="exact"/>
        <w:rPr>
          <w:sz w:val="20"/>
          <w:szCs w:val="20"/>
          <w:color w:val="auto"/>
        </w:rPr>
      </w:pPr>
    </w:p>
    <w:p>
      <w:pPr>
        <w:ind w:left="860"/>
        <w:spacing w:after="0"/>
        <w:tabs>
          <w:tab w:leader="none" w:pos="2460" w:val="left"/>
          <w:tab w:leader="none" w:pos="4320" w:val="left"/>
          <w:tab w:leader="none" w:pos="5740" w:val="left"/>
        </w:tabs>
        <w:rPr>
          <w:sz w:val="20"/>
          <w:szCs w:val="20"/>
          <w:color w:val="auto"/>
        </w:rPr>
      </w:pPr>
      <w:r>
        <w:rPr>
          <w:rFonts w:ascii="Arial" w:cs="Arial" w:eastAsia="Arial" w:hAnsi="Arial"/>
          <w:sz w:val="16"/>
          <w:szCs w:val="16"/>
          <w:color w:val="431C5B"/>
        </w:rPr>
        <w:t>(Chair)</w:t>
      </w:r>
      <w:r>
        <w:rPr>
          <w:sz w:val="20"/>
          <w:szCs w:val="20"/>
          <w:color w:val="auto"/>
        </w:rPr>
        <w:tab/>
      </w:r>
      <w:r>
        <w:rPr>
          <w:rFonts w:ascii="Arial" w:cs="Arial" w:eastAsia="Arial" w:hAnsi="Arial"/>
          <w:sz w:val="18"/>
          <w:szCs w:val="18"/>
          <w:b w:val="1"/>
          <w:bCs w:val="1"/>
          <w:color w:val="431C5B"/>
        </w:rPr>
        <w:t>Goldstein</w:t>
      </w:r>
      <w:r>
        <w:rPr>
          <w:sz w:val="20"/>
          <w:szCs w:val="20"/>
          <w:color w:val="auto"/>
        </w:rPr>
        <w:tab/>
      </w:r>
      <w:r>
        <w:rPr>
          <w:rFonts w:ascii="Arial" w:cs="Arial" w:eastAsia="Arial" w:hAnsi="Arial"/>
          <w:sz w:val="18"/>
          <w:szCs w:val="18"/>
          <w:b w:val="1"/>
          <w:bCs w:val="1"/>
          <w:color w:val="431C5B"/>
        </w:rPr>
        <w:t>Lauer</w:t>
      </w:r>
      <w:r>
        <w:rPr>
          <w:sz w:val="20"/>
          <w:szCs w:val="20"/>
          <w:color w:val="auto"/>
        </w:rPr>
        <w:tab/>
      </w:r>
      <w:r>
        <w:rPr>
          <w:rFonts w:ascii="Arial" w:cs="Arial" w:eastAsia="Arial" w:hAnsi="Arial"/>
          <w:sz w:val="17"/>
          <w:szCs w:val="17"/>
          <w:b w:val="1"/>
          <w:bCs w:val="1"/>
          <w:color w:val="431C5B"/>
        </w:rPr>
        <w:t>Stallings, Jr.</w:t>
      </w:r>
    </w:p>
    <w:p>
      <w:pPr>
        <w:spacing w:after="0" w:line="226" w:lineRule="exact"/>
        <w:rPr>
          <w:sz w:val="20"/>
          <w:szCs w:val="20"/>
          <w:color w:val="auto"/>
        </w:rPr>
      </w:pPr>
    </w:p>
    <w:p>
      <w:pPr>
        <w:ind w:left="140" w:right="179"/>
        <w:spacing w:after="0" w:line="321" w:lineRule="auto"/>
        <w:rPr>
          <w:sz w:val="20"/>
          <w:szCs w:val="20"/>
          <w:color w:val="auto"/>
        </w:rPr>
      </w:pPr>
      <w:r>
        <w:rPr>
          <w:rFonts w:ascii="Arial" w:cs="Arial" w:eastAsia="Arial" w:hAnsi="Arial"/>
          <w:sz w:val="16"/>
          <w:szCs w:val="16"/>
          <w:color w:val="auto"/>
        </w:rPr>
        <w:t>The Board has determined that each of the Corporate Governance, Nominating and Sustainability Committee members is independent as required by the NYSE.</w:t>
      </w:r>
    </w:p>
    <w:p>
      <w:pPr>
        <w:spacing w:after="0" w:line="102" w:lineRule="exact"/>
        <w:rPr>
          <w:sz w:val="20"/>
          <w:szCs w:val="20"/>
          <w:color w:val="auto"/>
        </w:rPr>
      </w:pPr>
    </w:p>
    <w:p>
      <w:pPr>
        <w:ind w:left="140" w:right="299"/>
        <w:spacing w:after="0" w:line="314" w:lineRule="auto"/>
        <w:rPr>
          <w:sz w:val="20"/>
          <w:szCs w:val="20"/>
          <w:color w:val="auto"/>
        </w:rPr>
      </w:pPr>
      <w:r>
        <w:rPr>
          <w:rFonts w:ascii="Arial" w:cs="Arial" w:eastAsia="Arial" w:hAnsi="Arial"/>
          <w:sz w:val="16"/>
          <w:szCs w:val="16"/>
          <w:color w:val="auto"/>
        </w:rPr>
        <w:t xml:space="preserve">The primary functions of the Corporate Governance, Nominating and Sustainability Committee as identified in its charter (which is available for review on the Investor Relations page of our website at </w:t>
      </w:r>
      <w:r>
        <w:rPr>
          <w:rFonts w:ascii="Arial" w:cs="Arial" w:eastAsia="Arial" w:hAnsi="Arial"/>
          <w:sz w:val="16"/>
          <w:szCs w:val="16"/>
          <w:b w:val="1"/>
          <w:bCs w:val="1"/>
          <w:color w:val="431C5B"/>
        </w:rPr>
        <w:t>www.fisglobal.com</w:t>
      </w:r>
      <w:r>
        <w:rPr>
          <w:rFonts w:ascii="Arial" w:cs="Arial" w:eastAsia="Arial" w:hAnsi="Arial"/>
          <w:sz w:val="16"/>
          <w:szCs w:val="16"/>
          <w:color w:val="auto"/>
        </w:rPr>
        <w:t>), are:</w:t>
      </w:r>
    </w:p>
    <w:p>
      <w:pPr>
        <w:spacing w:after="0" w:line="99" w:lineRule="exact"/>
        <w:rPr>
          <w:sz w:val="20"/>
          <w:szCs w:val="20"/>
          <w:color w:val="auto"/>
        </w:rPr>
      </w:pPr>
    </w:p>
    <w:p>
      <w:pPr>
        <w:ind w:left="320" w:hanging="190"/>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Identify and recommend to the Board qualified individuals to be nominated for election as directors;</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Advise and assist the Board with respect to corporate governance matters;</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Oversee the annual evaluation of the performance of the Board and committees;</w:t>
      </w:r>
    </w:p>
    <w:p>
      <w:pPr>
        <w:spacing w:after="0" w:line="86" w:lineRule="exact"/>
        <w:rPr>
          <w:rFonts w:ascii="Arial" w:cs="Arial" w:eastAsia="Arial" w:hAnsi="Arial"/>
          <w:sz w:val="16"/>
          <w:szCs w:val="16"/>
          <w:color w:val="auto"/>
        </w:rPr>
      </w:pPr>
    </w:p>
    <w:p>
      <w:pPr>
        <w:ind w:left="320" w:right="339" w:hanging="190"/>
        <w:spacing w:after="0" w:line="292" w:lineRule="auto"/>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Provide oversight with respect to the Company’s environmental, corporate social responsibility and corporate governance and global sustainability programs, including reviewing and evaluating sustainability plans and practices, and reviewing the annual global sustainability report;</w:t>
      </w:r>
    </w:p>
    <w:p>
      <w:pPr>
        <w:spacing w:after="0" w:line="3" w:lineRule="exact"/>
        <w:rPr>
          <w:rFonts w:ascii="Arial" w:cs="Arial" w:eastAsia="Arial" w:hAnsi="Arial"/>
          <w:sz w:val="16"/>
          <w:szCs w:val="16"/>
          <w:color w:val="auto"/>
        </w:rPr>
      </w:pPr>
    </w:p>
    <w:p>
      <w:pPr>
        <w:ind w:left="320" w:right="319" w:hanging="190"/>
        <w:spacing w:after="0" w:line="316" w:lineRule="auto"/>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Review and approve (i) all related party transactions in accordance with the Company’s Related Person Transactions Policy and (ii) any disclosure in the Company’s Exchange Act filings related to such transactions; and</w:t>
      </w:r>
    </w:p>
    <w:p>
      <w:pPr>
        <w:spacing w:after="0" w:line="1" w:lineRule="exact"/>
        <w:rPr>
          <w:rFonts w:ascii="Arial" w:cs="Arial" w:eastAsia="Arial" w:hAnsi="Arial"/>
          <w:sz w:val="16"/>
          <w:szCs w:val="16"/>
          <w:color w:val="auto"/>
        </w:rPr>
      </w:pPr>
    </w:p>
    <w:p>
      <w:pPr>
        <w:ind w:left="320" w:right="599" w:hanging="190"/>
        <w:spacing w:after="0" w:line="304" w:lineRule="auto"/>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Oversee the Company’s public policy activities, including the nature and amount of political expenditures, political engagement and lobbying.</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20" w:hanging="429"/>
        <w:spacing w:after="0"/>
        <w:tabs>
          <w:tab w:leader="none" w:pos="620" w:val="left"/>
        </w:tabs>
        <w:numPr>
          <w:ilvl w:val="0"/>
          <w:numId w:val="58"/>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43" w:name="page44"/>
    <w:bookmarkEnd w:id="43"/>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31C5B"/>
        </w:rPr>
        <w:t>Risk and Technology Committee</w:t>
      </w:r>
    </w:p>
    <w:p>
      <w:pPr>
        <w:spacing w:after="0" w:line="331" w:lineRule="exact"/>
        <w:rPr>
          <w:sz w:val="20"/>
          <w:szCs w:val="20"/>
          <w:color w:val="auto"/>
        </w:rPr>
      </w:pPr>
    </w:p>
    <w:tbl>
      <w:tblPr>
        <w:tblLayout w:type="fixed"/>
        <w:tblInd w:w="2060" w:type="dxa"/>
        <w:tblCellMar>
          <w:top w:w="0" w:type="dxa"/>
          <w:left w:w="0" w:type="dxa"/>
          <w:bottom w:w="0" w:type="dxa"/>
          <w:right w:w="0" w:type="dxa"/>
        </w:tblCellMar>
      </w:tblPr>
      <w:tr>
        <w:trPr>
          <w:trHeight w:val="389"/>
        </w:trPr>
        <w:tc>
          <w:tcPr>
            <w:tcW w:w="1960" w:type="dxa"/>
            <w:vAlign w:val="bottom"/>
            <w:shd w:val="clear" w:color="auto" w:fill="EDFAEC"/>
          </w:tcPr>
          <w:p>
            <w:pPr>
              <w:ind w:left="180"/>
              <w:spacing w:after="0"/>
              <w:rPr>
                <w:sz w:val="20"/>
                <w:szCs w:val="20"/>
                <w:color w:val="auto"/>
              </w:rPr>
            </w:pPr>
            <w:r>
              <w:rPr>
                <w:rFonts w:ascii="Arial" w:cs="Arial" w:eastAsia="Arial" w:hAnsi="Arial"/>
                <w:sz w:val="14"/>
                <w:szCs w:val="14"/>
                <w:color w:val="auto"/>
              </w:rPr>
              <w:t xml:space="preserve">2025 Meetings: </w:t>
            </w:r>
            <w:r>
              <w:rPr>
                <w:rFonts w:ascii="Arial" w:cs="Arial" w:eastAsia="Arial" w:hAnsi="Arial"/>
                <w:sz w:val="14"/>
                <w:szCs w:val="14"/>
                <w:b w:val="1"/>
                <w:bCs w:val="1"/>
                <w:color w:val="auto"/>
              </w:rPr>
              <w:t>4</w:t>
            </w:r>
          </w:p>
        </w:tc>
        <w:tc>
          <w:tcPr>
            <w:tcW w:w="1840" w:type="dxa"/>
            <w:vAlign w:val="bottom"/>
            <w:shd w:val="clear" w:color="auto" w:fill="EDFAEC"/>
          </w:tcPr>
          <w:p>
            <w:pPr>
              <w:ind w:left="40"/>
              <w:spacing w:after="0"/>
              <w:rPr>
                <w:sz w:val="20"/>
                <w:szCs w:val="20"/>
                <w:color w:val="auto"/>
              </w:rPr>
            </w:pPr>
            <w:r>
              <w:rPr>
                <w:rFonts w:ascii="Arial" w:cs="Arial" w:eastAsia="Arial" w:hAnsi="Arial"/>
                <w:sz w:val="14"/>
                <w:szCs w:val="14"/>
                <w:color w:val="auto"/>
              </w:rPr>
              <w:t xml:space="preserve">2025 Attendance: </w:t>
            </w:r>
            <w:r>
              <w:rPr>
                <w:rFonts w:ascii="Arial" w:cs="Arial" w:eastAsia="Arial" w:hAnsi="Arial"/>
                <w:sz w:val="14"/>
                <w:szCs w:val="14"/>
                <w:b w:val="1"/>
                <w:bCs w:val="1"/>
                <w:color w:val="auto"/>
              </w:rPr>
              <w:t>94%</w:t>
            </w:r>
          </w:p>
        </w:tc>
        <w:tc>
          <w:tcPr>
            <w:tcW w:w="3020" w:type="dxa"/>
            <w:vAlign w:val="bottom"/>
            <w:shd w:val="clear" w:color="auto" w:fill="EDFAEC"/>
          </w:tcPr>
          <w:p>
            <w:pPr>
              <w:ind w:left="360"/>
              <w:spacing w:after="0"/>
              <w:rPr>
                <w:sz w:val="20"/>
                <w:szCs w:val="20"/>
                <w:color w:val="auto"/>
              </w:rPr>
            </w:pPr>
            <w:r>
              <w:rPr>
                <w:rFonts w:ascii="Arial" w:cs="Arial" w:eastAsia="Arial" w:hAnsi="Arial"/>
                <w:sz w:val="14"/>
                <w:szCs w:val="14"/>
                <w:color w:val="auto"/>
              </w:rPr>
              <w:t>Members: (As of April 13, 2026)</w:t>
            </w:r>
          </w:p>
        </w:tc>
      </w:tr>
      <w:tr>
        <w:trPr>
          <w:trHeight w:val="191"/>
        </w:trPr>
        <w:tc>
          <w:tcPr>
            <w:tcW w:w="1960" w:type="dxa"/>
            <w:vAlign w:val="bottom"/>
            <w:shd w:val="clear" w:color="auto" w:fill="EDFAEC"/>
          </w:tcPr>
          <w:p>
            <w:pPr>
              <w:spacing w:after="0"/>
              <w:rPr>
                <w:sz w:val="16"/>
                <w:szCs w:val="16"/>
                <w:color w:val="auto"/>
              </w:rPr>
            </w:pPr>
          </w:p>
        </w:tc>
        <w:tc>
          <w:tcPr>
            <w:tcW w:w="1840" w:type="dxa"/>
            <w:vAlign w:val="bottom"/>
            <w:shd w:val="clear" w:color="auto" w:fill="EDFAEC"/>
          </w:tcPr>
          <w:p>
            <w:pPr>
              <w:spacing w:after="0"/>
              <w:rPr>
                <w:sz w:val="16"/>
                <w:szCs w:val="16"/>
                <w:color w:val="auto"/>
              </w:rPr>
            </w:pPr>
          </w:p>
        </w:tc>
        <w:tc>
          <w:tcPr>
            <w:tcW w:w="3020" w:type="dxa"/>
            <w:vAlign w:val="bottom"/>
            <w:shd w:val="clear" w:color="auto" w:fill="EDFAEC"/>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0"/>
        <w:spacing w:after="0"/>
        <w:tabs>
          <w:tab w:leader="none" w:pos="2480" w:val="left"/>
          <w:tab w:leader="none" w:pos="4240" w:val="left"/>
          <w:tab w:leader="none" w:pos="6080" w:val="left"/>
          <w:tab w:leader="none" w:pos="7480" w:val="left"/>
        </w:tabs>
        <w:rPr>
          <w:sz w:val="20"/>
          <w:szCs w:val="20"/>
          <w:color w:val="auto"/>
        </w:rPr>
      </w:pPr>
      <w:r>
        <w:rPr>
          <w:rFonts w:ascii="Arial" w:cs="Arial" w:eastAsia="Arial" w:hAnsi="Arial"/>
          <w:sz w:val="18"/>
          <w:szCs w:val="18"/>
          <w:b w:val="1"/>
          <w:bCs w:val="1"/>
          <w:color w:val="431C5B"/>
        </w:rPr>
        <w:t>Lisa A. Hook</w:t>
      </w:r>
      <w:r>
        <w:rPr>
          <w:sz w:val="20"/>
          <w:szCs w:val="20"/>
          <w:color w:val="auto"/>
        </w:rPr>
        <w:tab/>
      </w:r>
      <w:r>
        <w:rPr>
          <w:rFonts w:ascii="Arial" w:cs="Arial" w:eastAsia="Arial" w:hAnsi="Arial"/>
          <w:sz w:val="18"/>
          <w:szCs w:val="18"/>
          <w:b w:val="1"/>
          <w:bCs w:val="1"/>
          <w:color w:val="431C5B"/>
        </w:rPr>
        <w:t>Nicole M.</w:t>
      </w:r>
      <w:r>
        <w:rPr>
          <w:sz w:val="20"/>
          <w:szCs w:val="20"/>
          <w:color w:val="auto"/>
        </w:rPr>
        <w:tab/>
      </w:r>
      <w:r>
        <w:rPr>
          <w:rFonts w:ascii="Arial" w:cs="Arial" w:eastAsia="Arial" w:hAnsi="Arial"/>
          <w:sz w:val="18"/>
          <w:szCs w:val="18"/>
          <w:b w:val="1"/>
          <w:bCs w:val="1"/>
          <w:color w:val="431C5B"/>
        </w:rPr>
        <w:t>Mark D.</w:t>
      </w:r>
      <w:r>
        <w:rPr>
          <w:sz w:val="20"/>
          <w:szCs w:val="20"/>
          <w:color w:val="auto"/>
        </w:rPr>
        <w:tab/>
      </w:r>
      <w:r>
        <w:rPr>
          <w:rFonts w:ascii="Arial" w:cs="Arial" w:eastAsia="Arial" w:hAnsi="Arial"/>
          <w:sz w:val="18"/>
          <w:szCs w:val="18"/>
          <w:b w:val="1"/>
          <w:bCs w:val="1"/>
          <w:color w:val="431C5B"/>
        </w:rPr>
        <w:t>Anil</w:t>
      </w:r>
      <w:r>
        <w:rPr>
          <w:sz w:val="20"/>
          <w:szCs w:val="20"/>
          <w:color w:val="auto"/>
        </w:rPr>
        <w:tab/>
      </w:r>
      <w:r>
        <w:rPr>
          <w:rFonts w:ascii="Arial" w:cs="Arial" w:eastAsia="Arial" w:hAnsi="Arial"/>
          <w:sz w:val="17"/>
          <w:szCs w:val="17"/>
          <w:b w:val="1"/>
          <w:bCs w:val="1"/>
          <w:color w:val="431C5B"/>
        </w:rPr>
        <w:t>Kourtney K.</w:t>
      </w:r>
    </w:p>
    <w:p>
      <w:pPr>
        <w:spacing w:after="0" w:line="40" w:lineRule="exact"/>
        <w:rPr>
          <w:sz w:val="20"/>
          <w:szCs w:val="20"/>
          <w:color w:val="auto"/>
        </w:rPr>
      </w:pPr>
    </w:p>
    <w:p>
      <w:pPr>
        <w:ind w:left="860"/>
        <w:spacing w:after="0"/>
        <w:tabs>
          <w:tab w:leader="none" w:pos="2460" w:val="left"/>
          <w:tab w:leader="none" w:pos="4160" w:val="left"/>
          <w:tab w:leader="none" w:pos="5680" w:val="left"/>
          <w:tab w:leader="none" w:pos="7680" w:val="left"/>
        </w:tabs>
        <w:rPr>
          <w:sz w:val="20"/>
          <w:szCs w:val="20"/>
          <w:color w:val="auto"/>
        </w:rPr>
      </w:pPr>
      <w:r>
        <w:rPr>
          <w:rFonts w:ascii="Arial" w:cs="Arial" w:eastAsia="Arial" w:hAnsi="Arial"/>
          <w:sz w:val="16"/>
          <w:szCs w:val="16"/>
          <w:color w:val="431C5B"/>
        </w:rPr>
        <w:t>(Chair)</w:t>
      </w:r>
      <w:r>
        <w:rPr>
          <w:sz w:val="20"/>
          <w:szCs w:val="20"/>
          <w:color w:val="auto"/>
        </w:rPr>
        <w:tab/>
      </w:r>
      <w:r>
        <w:rPr>
          <w:rFonts w:ascii="Arial" w:cs="Arial" w:eastAsia="Arial" w:hAnsi="Arial"/>
          <w:sz w:val="18"/>
          <w:szCs w:val="18"/>
          <w:b w:val="1"/>
          <w:bCs w:val="1"/>
          <w:color w:val="431C5B"/>
        </w:rPr>
        <w:t>Anasenes</w:t>
      </w:r>
      <w:r>
        <w:rPr>
          <w:sz w:val="20"/>
          <w:szCs w:val="20"/>
          <w:color w:val="auto"/>
        </w:rPr>
        <w:tab/>
      </w:r>
      <w:r>
        <w:rPr>
          <w:rFonts w:ascii="Arial" w:cs="Arial" w:eastAsia="Arial" w:hAnsi="Arial"/>
          <w:sz w:val="18"/>
          <w:szCs w:val="18"/>
          <w:b w:val="1"/>
          <w:bCs w:val="1"/>
          <w:color w:val="431C5B"/>
        </w:rPr>
        <w:t>Benjamin</w:t>
      </w:r>
      <w:r>
        <w:rPr>
          <w:sz w:val="20"/>
          <w:szCs w:val="20"/>
          <w:color w:val="auto"/>
        </w:rPr>
        <w:tab/>
      </w:r>
      <w:r>
        <w:rPr>
          <w:rFonts w:ascii="Arial" w:cs="Arial" w:eastAsia="Arial" w:hAnsi="Arial"/>
          <w:sz w:val="18"/>
          <w:szCs w:val="18"/>
          <w:b w:val="1"/>
          <w:bCs w:val="1"/>
          <w:color w:val="431C5B"/>
        </w:rPr>
        <w:t>Chakravarthy</w:t>
      </w:r>
      <w:r>
        <w:rPr>
          <w:sz w:val="20"/>
          <w:szCs w:val="20"/>
          <w:color w:val="auto"/>
        </w:rPr>
        <w:tab/>
      </w:r>
      <w:r>
        <w:rPr>
          <w:rFonts w:ascii="Arial" w:cs="Arial" w:eastAsia="Arial" w:hAnsi="Arial"/>
          <w:sz w:val="17"/>
          <w:szCs w:val="17"/>
          <w:b w:val="1"/>
          <w:bCs w:val="1"/>
          <w:color w:val="431C5B"/>
        </w:rPr>
        <w:t>Gibson</w:t>
      </w:r>
    </w:p>
    <w:p>
      <w:pPr>
        <w:spacing w:after="0" w:line="2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Mr. Benjamin is not standing for re-election at the 2026 annual meeting of shareholders.</w:t>
      </w:r>
    </w:p>
    <w:p>
      <w:pPr>
        <w:spacing w:after="0" w:line="194" w:lineRule="exact"/>
        <w:rPr>
          <w:sz w:val="20"/>
          <w:szCs w:val="20"/>
          <w:color w:val="auto"/>
        </w:rPr>
      </w:pPr>
    </w:p>
    <w:p>
      <w:pPr>
        <w:ind w:left="140" w:right="339"/>
        <w:spacing w:after="0" w:line="332" w:lineRule="auto"/>
        <w:rPr>
          <w:sz w:val="20"/>
          <w:szCs w:val="20"/>
          <w:color w:val="auto"/>
        </w:rPr>
      </w:pPr>
      <w:r>
        <w:rPr>
          <w:rFonts w:ascii="Arial" w:cs="Arial" w:eastAsia="Arial" w:hAnsi="Arial"/>
          <w:sz w:val="16"/>
          <w:szCs w:val="16"/>
          <w:color w:val="auto"/>
        </w:rPr>
        <w:t xml:space="preserve">The primary functions of the Risk and Technology Committee as identified in its charter (which is available for review on the Investor Relations page of our website at </w:t>
      </w:r>
      <w:r>
        <w:rPr>
          <w:rFonts w:ascii="Arial" w:cs="Arial" w:eastAsia="Arial" w:hAnsi="Arial"/>
          <w:sz w:val="16"/>
          <w:szCs w:val="16"/>
          <w:b w:val="1"/>
          <w:bCs w:val="1"/>
          <w:color w:val="431C5B"/>
        </w:rPr>
        <w:t>www.fisglobal.com</w:t>
      </w:r>
      <w:r>
        <w:rPr>
          <w:rFonts w:ascii="Arial" w:cs="Arial" w:eastAsia="Arial" w:hAnsi="Arial"/>
          <w:sz w:val="16"/>
          <w:szCs w:val="16"/>
          <w:color w:val="auto"/>
        </w:rPr>
        <w:t>), are:</w:t>
      </w:r>
    </w:p>
    <w:p>
      <w:pPr>
        <w:spacing w:after="0" w:line="71" w:lineRule="exact"/>
        <w:rPr>
          <w:sz w:val="20"/>
          <w:szCs w:val="20"/>
          <w:color w:val="auto"/>
        </w:rPr>
      </w:pPr>
    </w:p>
    <w:p>
      <w:pPr>
        <w:ind w:left="320" w:right="939" w:hanging="190"/>
        <w:spacing w:after="0" w:line="308" w:lineRule="auto"/>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Overseeing executive management’s deployment of an Enterprise Risk framework and its risk measurement methodologies, and reviewing the results of risk management reviews and assessments;</w:t>
      </w:r>
    </w:p>
    <w:p>
      <w:pPr>
        <w:ind w:left="320" w:right="379" w:hanging="190"/>
        <w:spacing w:after="0" w:line="316" w:lineRule="auto"/>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the Company’s policies, procedures and standards for identifying and managing Enterprise Risks and the Company’s compliance with, and performance against, those policies, procedures and standards;</w:t>
      </w:r>
    </w:p>
    <w:p>
      <w:pPr>
        <w:spacing w:after="0" w:line="1" w:lineRule="exact"/>
        <w:rPr>
          <w:rFonts w:ascii="Arial" w:cs="Arial" w:eastAsia="Arial" w:hAnsi="Arial"/>
          <w:sz w:val="16"/>
          <w:szCs w:val="16"/>
          <w:color w:val="auto"/>
        </w:rPr>
      </w:pPr>
    </w:p>
    <w:p>
      <w:pPr>
        <w:ind w:left="320" w:right="519" w:hanging="190"/>
        <w:spacing w:after="0" w:line="304" w:lineRule="auto"/>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any material regulatory reports or inquiries of the Company related to Enterprise Risks and remediation plans related to such Enterprise Risks;</w:t>
      </w:r>
    </w:p>
    <w:p>
      <w:pPr>
        <w:spacing w:after="0" w:line="6" w:lineRule="exact"/>
        <w:rPr>
          <w:rFonts w:ascii="Arial" w:cs="Arial" w:eastAsia="Arial" w:hAnsi="Arial"/>
          <w:sz w:val="16"/>
          <w:szCs w:val="16"/>
          <w:color w:val="auto"/>
        </w:rPr>
      </w:pPr>
    </w:p>
    <w:p>
      <w:pPr>
        <w:ind w:left="320" w:right="339" w:hanging="190"/>
        <w:spacing w:after="0" w:line="304" w:lineRule="auto"/>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discussing with management and overseeing the Company’s data security risk strategy and data security risk policies and controls;</w:t>
      </w:r>
    </w:p>
    <w:p>
      <w:pPr>
        <w:spacing w:after="0" w:line="6" w:lineRule="exact"/>
        <w:rPr>
          <w:rFonts w:ascii="Arial" w:cs="Arial" w:eastAsia="Arial" w:hAnsi="Arial"/>
          <w:sz w:val="16"/>
          <w:szCs w:val="16"/>
          <w:color w:val="auto"/>
        </w:rPr>
      </w:pPr>
    </w:p>
    <w:p>
      <w:pPr>
        <w:ind w:left="320" w:right="779" w:hanging="190"/>
        <w:spacing w:after="0" w:line="308" w:lineRule="auto"/>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Overseeing the Company’s technology planning and strategy, including integration, investments, expenditures, innovation, modernization and response to client, competitor, market and industry trends and disruptions;</w:t>
      </w:r>
    </w:p>
    <w:p>
      <w:pPr>
        <w:ind w:left="320" w:right="199" w:hanging="190"/>
        <w:spacing w:after="0" w:line="308" w:lineRule="auto"/>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with executive management the Company’s technology program performance against financial, operational, cybersecurity, application compliance, regulatory, service delivery, talent and key performance objectives;</w:t>
      </w:r>
    </w:p>
    <w:p>
      <w:pPr>
        <w:ind w:left="320" w:right="619" w:hanging="190"/>
        <w:spacing w:after="0" w:line="316" w:lineRule="auto"/>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with executive management emerging trends in technology, such as artificial intelligence and machine learning, that may affect the Company's strategic plans, including monitoring of overall industry trends; and</w:t>
      </w:r>
    </w:p>
    <w:p>
      <w:pPr>
        <w:spacing w:after="0" w:line="1" w:lineRule="exact"/>
        <w:rPr>
          <w:rFonts w:ascii="Arial" w:cs="Arial" w:eastAsia="Arial" w:hAnsi="Arial"/>
          <w:sz w:val="16"/>
          <w:szCs w:val="16"/>
          <w:color w:val="auto"/>
        </w:rPr>
      </w:pPr>
    </w:p>
    <w:p>
      <w:pPr>
        <w:ind w:left="320" w:hanging="190"/>
        <w:spacing w:after="0"/>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Conducting periodic assessments of the state of the Company’s management culture.</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“Enterprise Risks” include operational, information security, strategic, reputational, technology and other risks.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41</w:t>
      </w:r>
    </w:p>
    <w:p>
      <w:pPr>
        <w:sectPr>
          <w:pgSz w:w="11900" w:h="16838" w:orient="portrait"/>
          <w:cols w:equalWidth="0" w:num="1">
            <w:col w:w="9019"/>
          </w:cols>
          <w:pgMar w:left="1440" w:top="657" w:right="1440" w:bottom="1440" w:gutter="0" w:footer="0" w:header="0"/>
          <w:type w:val="continuous"/>
        </w:sectPr>
      </w:pPr>
    </w:p>
    <w:bookmarkStart w:id="44" w:name="page45"/>
    <w:bookmarkEnd w:id="44"/>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431C5B"/>
        </w:rPr>
        <w:t>Executive Committee</w:t>
      </w:r>
    </w:p>
    <w:p>
      <w:pPr>
        <w:spacing w:after="0" w:line="200" w:lineRule="exact"/>
        <w:rPr>
          <w:sz w:val="20"/>
          <w:szCs w:val="20"/>
          <w:color w:val="auto"/>
        </w:rPr>
      </w:pPr>
    </w:p>
    <w:p>
      <w:pPr>
        <w:spacing w:after="0" w:line="270" w:lineRule="exact"/>
        <w:rPr>
          <w:sz w:val="20"/>
          <w:szCs w:val="20"/>
          <w:color w:val="auto"/>
        </w:rPr>
      </w:pPr>
    </w:p>
    <w:p>
      <w:pPr>
        <w:ind w:left="2240"/>
        <w:spacing w:after="0"/>
        <w:tabs>
          <w:tab w:leader="none" w:pos="4000" w:val="left"/>
          <w:tab w:leader="none" w:pos="6100" w:val="left"/>
        </w:tabs>
        <w:rPr>
          <w:sz w:val="20"/>
          <w:szCs w:val="20"/>
          <w:color w:val="auto"/>
        </w:rPr>
      </w:pPr>
      <w:r>
        <w:rPr>
          <w:rFonts w:ascii="Arial" w:cs="Arial" w:eastAsia="Arial" w:hAnsi="Arial"/>
          <w:sz w:val="14"/>
          <w:szCs w:val="14"/>
          <w:color w:val="auto"/>
        </w:rPr>
        <w:t xml:space="preserve">2025 Meetings: </w:t>
      </w:r>
      <w:r>
        <w:rPr>
          <w:rFonts w:ascii="Arial" w:cs="Arial" w:eastAsia="Arial" w:hAnsi="Arial"/>
          <w:sz w:val="14"/>
          <w:szCs w:val="14"/>
          <w:b w:val="1"/>
          <w:bCs w:val="1"/>
          <w:color w:val="auto"/>
        </w:rPr>
        <w:t>0</w:t>
      </w:r>
      <w:r>
        <w:rPr>
          <w:sz w:val="20"/>
          <w:szCs w:val="20"/>
          <w:color w:val="auto"/>
        </w:rPr>
        <w:tab/>
      </w:r>
      <w:r>
        <w:rPr>
          <w:rFonts w:ascii="Arial" w:cs="Arial" w:eastAsia="Arial" w:hAnsi="Arial"/>
          <w:sz w:val="14"/>
          <w:szCs w:val="14"/>
          <w:color w:val="auto"/>
        </w:rPr>
        <w:t>2025 Attendance:</w:t>
      </w:r>
      <w:r>
        <w:rPr>
          <w:sz w:val="20"/>
          <w:szCs w:val="20"/>
          <w:color w:val="auto"/>
        </w:rPr>
        <w:tab/>
      </w:r>
      <w:r>
        <w:rPr>
          <w:rFonts w:ascii="Arial" w:cs="Arial" w:eastAsia="Arial" w:hAnsi="Arial"/>
          <w:sz w:val="14"/>
          <w:szCs w:val="14"/>
          <w:color w:val="auto"/>
        </w:rPr>
        <w:t>Members: (As of April 13, 2026)</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0"/>
        <w:spacing w:after="0"/>
        <w:tabs>
          <w:tab w:leader="none" w:pos="2280" w:val="left"/>
          <w:tab w:leader="none" w:pos="3420" w:val="left"/>
          <w:tab w:leader="none" w:pos="5000" w:val="left"/>
          <w:tab w:leader="none" w:pos="6240" w:val="left"/>
          <w:tab w:leader="none" w:pos="7820" w:val="left"/>
        </w:tabs>
        <w:rPr>
          <w:sz w:val="20"/>
          <w:szCs w:val="20"/>
          <w:color w:val="auto"/>
        </w:rPr>
      </w:pPr>
      <w:r>
        <w:rPr>
          <w:rFonts w:ascii="Arial" w:cs="Arial" w:eastAsia="Arial" w:hAnsi="Arial"/>
          <w:sz w:val="18"/>
          <w:szCs w:val="18"/>
          <w:b w:val="1"/>
          <w:bCs w:val="1"/>
          <w:color w:val="431C5B"/>
        </w:rPr>
        <w:t>Jeffrey A. Goldstein</w:t>
      </w:r>
      <w:r>
        <w:rPr>
          <w:sz w:val="20"/>
          <w:szCs w:val="20"/>
          <w:color w:val="auto"/>
        </w:rPr>
        <w:tab/>
      </w:r>
      <w:r>
        <w:rPr>
          <w:rFonts w:ascii="Arial" w:cs="Arial" w:eastAsia="Arial" w:hAnsi="Arial"/>
          <w:sz w:val="18"/>
          <w:szCs w:val="18"/>
          <w:b w:val="1"/>
          <w:bCs w:val="1"/>
          <w:color w:val="431C5B"/>
        </w:rPr>
        <w:t>Nicole M.</w:t>
      </w:r>
      <w:r>
        <w:rPr>
          <w:sz w:val="20"/>
          <w:szCs w:val="20"/>
          <w:color w:val="auto"/>
        </w:rPr>
        <w:tab/>
      </w:r>
      <w:r>
        <w:rPr>
          <w:rFonts w:ascii="Arial" w:cs="Arial" w:eastAsia="Arial" w:hAnsi="Arial"/>
          <w:sz w:val="18"/>
          <w:szCs w:val="18"/>
          <w:b w:val="1"/>
          <w:bCs w:val="1"/>
          <w:color w:val="431C5B"/>
        </w:rPr>
        <w:t>Stephanie L.</w:t>
      </w:r>
      <w:r>
        <w:rPr>
          <w:sz w:val="20"/>
          <w:szCs w:val="20"/>
          <w:color w:val="auto"/>
        </w:rPr>
        <w:tab/>
      </w:r>
      <w:r>
        <w:rPr>
          <w:rFonts w:ascii="Arial" w:cs="Arial" w:eastAsia="Arial" w:hAnsi="Arial"/>
          <w:sz w:val="18"/>
          <w:szCs w:val="18"/>
          <w:b w:val="1"/>
          <w:bCs w:val="1"/>
          <w:color w:val="431C5B"/>
        </w:rPr>
        <w:t>Lisa A.</w:t>
      </w:r>
      <w:r>
        <w:rPr>
          <w:sz w:val="20"/>
          <w:szCs w:val="20"/>
          <w:color w:val="auto"/>
        </w:rPr>
        <w:tab/>
      </w:r>
      <w:r>
        <w:rPr>
          <w:rFonts w:ascii="Arial" w:cs="Arial" w:eastAsia="Arial" w:hAnsi="Arial"/>
          <w:sz w:val="18"/>
          <w:szCs w:val="18"/>
          <w:b w:val="1"/>
          <w:bCs w:val="1"/>
          <w:color w:val="431C5B"/>
        </w:rPr>
        <w:t>Kenneth T.</w:t>
      </w:r>
      <w:r>
        <w:rPr>
          <w:sz w:val="20"/>
          <w:szCs w:val="20"/>
          <w:color w:val="auto"/>
        </w:rPr>
        <w:tab/>
      </w:r>
      <w:r>
        <w:rPr>
          <w:rFonts w:ascii="Arial" w:cs="Arial" w:eastAsia="Arial" w:hAnsi="Arial"/>
          <w:sz w:val="17"/>
          <w:szCs w:val="17"/>
          <w:b w:val="1"/>
          <w:bCs w:val="1"/>
          <w:color w:val="431C5B"/>
        </w:rPr>
        <w:t>Gary L.</w:t>
      </w:r>
    </w:p>
    <w:p>
      <w:pPr>
        <w:spacing w:after="0" w:line="40" w:lineRule="exact"/>
        <w:rPr>
          <w:sz w:val="20"/>
          <w:szCs w:val="20"/>
          <w:color w:val="auto"/>
        </w:rPr>
      </w:pPr>
    </w:p>
    <w:p>
      <w:pPr>
        <w:ind w:left="860"/>
        <w:spacing w:after="0"/>
        <w:tabs>
          <w:tab w:leader="none" w:pos="2260" w:val="left"/>
          <w:tab w:leader="none" w:pos="3700" w:val="left"/>
          <w:tab w:leader="none" w:pos="5060" w:val="left"/>
          <w:tab w:leader="none" w:pos="6300" w:val="left"/>
          <w:tab w:leader="none" w:pos="7900" w:val="left"/>
        </w:tabs>
        <w:rPr>
          <w:sz w:val="20"/>
          <w:szCs w:val="20"/>
          <w:color w:val="auto"/>
        </w:rPr>
      </w:pPr>
      <w:r>
        <w:rPr>
          <w:rFonts w:ascii="Arial" w:cs="Arial" w:eastAsia="Arial" w:hAnsi="Arial"/>
          <w:sz w:val="16"/>
          <w:szCs w:val="16"/>
          <w:color w:val="431C5B"/>
        </w:rPr>
        <w:t>(Chair)</w:t>
      </w:r>
      <w:r>
        <w:rPr>
          <w:sz w:val="20"/>
          <w:szCs w:val="20"/>
          <w:color w:val="auto"/>
        </w:rPr>
        <w:tab/>
      </w:r>
      <w:r>
        <w:rPr>
          <w:rFonts w:ascii="Arial" w:cs="Arial" w:eastAsia="Arial" w:hAnsi="Arial"/>
          <w:sz w:val="18"/>
          <w:szCs w:val="18"/>
          <w:b w:val="1"/>
          <w:bCs w:val="1"/>
          <w:color w:val="431C5B"/>
        </w:rPr>
        <w:t>Anasenes</w:t>
      </w:r>
      <w:r>
        <w:rPr>
          <w:sz w:val="20"/>
          <w:szCs w:val="20"/>
          <w:color w:val="auto"/>
        </w:rPr>
        <w:tab/>
      </w:r>
      <w:r>
        <w:rPr>
          <w:rFonts w:ascii="Arial" w:cs="Arial" w:eastAsia="Arial" w:hAnsi="Arial"/>
          <w:sz w:val="18"/>
          <w:szCs w:val="18"/>
          <w:b w:val="1"/>
          <w:bCs w:val="1"/>
          <w:color w:val="431C5B"/>
        </w:rPr>
        <w:t>Ferris</w:t>
      </w:r>
      <w:r>
        <w:rPr>
          <w:sz w:val="20"/>
          <w:szCs w:val="20"/>
          <w:color w:val="auto"/>
        </w:rPr>
        <w:tab/>
      </w:r>
      <w:r>
        <w:rPr>
          <w:rFonts w:ascii="Arial" w:cs="Arial" w:eastAsia="Arial" w:hAnsi="Arial"/>
          <w:sz w:val="18"/>
          <w:szCs w:val="18"/>
          <w:b w:val="1"/>
          <w:bCs w:val="1"/>
          <w:color w:val="431C5B"/>
        </w:rPr>
        <w:t>Hook</w:t>
      </w:r>
      <w:r>
        <w:rPr>
          <w:sz w:val="20"/>
          <w:szCs w:val="20"/>
          <w:color w:val="auto"/>
        </w:rPr>
        <w:tab/>
      </w:r>
      <w:r>
        <w:rPr>
          <w:rFonts w:ascii="Arial" w:cs="Arial" w:eastAsia="Arial" w:hAnsi="Arial"/>
          <w:sz w:val="18"/>
          <w:szCs w:val="18"/>
          <w:b w:val="1"/>
          <w:bCs w:val="1"/>
          <w:color w:val="431C5B"/>
        </w:rPr>
        <w:t>Lamneck</w:t>
      </w:r>
      <w:r>
        <w:rPr>
          <w:sz w:val="20"/>
          <w:szCs w:val="20"/>
          <w:color w:val="auto"/>
        </w:rPr>
        <w:tab/>
      </w:r>
      <w:r>
        <w:rPr>
          <w:rFonts w:ascii="Arial" w:cs="Arial" w:eastAsia="Arial" w:hAnsi="Arial"/>
          <w:sz w:val="17"/>
          <w:szCs w:val="17"/>
          <w:b w:val="1"/>
          <w:bCs w:val="1"/>
          <w:color w:val="431C5B"/>
        </w:rPr>
        <w:t>Lauer</w:t>
      </w:r>
    </w:p>
    <w:p>
      <w:pPr>
        <w:spacing w:after="0" w:line="226" w:lineRule="exact"/>
        <w:rPr>
          <w:sz w:val="20"/>
          <w:szCs w:val="20"/>
          <w:color w:val="auto"/>
        </w:rPr>
      </w:pPr>
    </w:p>
    <w:p>
      <w:pPr>
        <w:jc w:val="both"/>
        <w:ind w:left="140" w:right="219"/>
        <w:spacing w:after="0" w:line="289" w:lineRule="auto"/>
        <w:rPr>
          <w:sz w:val="20"/>
          <w:szCs w:val="20"/>
          <w:color w:val="auto"/>
        </w:rPr>
      </w:pPr>
      <w:r>
        <w:rPr>
          <w:rFonts w:ascii="Arial" w:cs="Arial" w:eastAsia="Arial" w:hAnsi="Arial"/>
          <w:sz w:val="16"/>
          <w:szCs w:val="16"/>
          <w:color w:val="auto"/>
        </w:rPr>
        <w:t>The primary function of the Executive Committee, as identified in its charter, is to act on behalf of the full Board between regularly scheduled Board meetings, or during times of an acute emergency, when time is of the essence. The Executive Committee may exercise all of the authority of the Board in the business and affairs of the Company, except where action by the full Board is specifically required or where authority is specifically limited by the Board.</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Director Compensation</w:t>
      </w:r>
    </w:p>
    <w:p>
      <w:pPr>
        <w:spacing w:after="0" w:line="24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Director Fees</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 2025, our standard compensatory arrangement with our non-employee directors included the following:</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Director Fees</w:t>
            </w:r>
          </w:p>
        </w:tc>
        <w:tc>
          <w:tcPr>
            <w:tcW w:w="1680" w:type="dxa"/>
            <w:vAlign w:val="bottom"/>
            <w:tcBorders>
              <w:bottom w:val="single" w:sz="8" w:color="431C5B"/>
            </w:tcBorders>
          </w:tcPr>
          <w:p>
            <w:pPr>
              <w:jc w:val="right"/>
              <w:ind w:right="61"/>
              <w:spacing w:after="0"/>
              <w:rPr>
                <w:sz w:val="20"/>
                <w:szCs w:val="20"/>
                <w:color w:val="auto"/>
              </w:rPr>
            </w:pPr>
            <w:r>
              <w:rPr>
                <w:rFonts w:ascii="Arial" w:cs="Arial" w:eastAsia="Arial" w:hAnsi="Arial"/>
                <w:sz w:val="14"/>
                <w:szCs w:val="14"/>
                <w:b w:val="1"/>
                <w:bCs w:val="1"/>
                <w:color w:val="431C5B"/>
              </w:rPr>
              <w:t>Director</w:t>
            </w:r>
          </w:p>
        </w:tc>
        <w:tc>
          <w:tcPr>
            <w:tcW w:w="146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Independent Chair</w:t>
            </w:r>
          </w:p>
        </w:tc>
      </w:tr>
      <w:tr>
        <w:trPr>
          <w:trHeight w:val="230"/>
        </w:trPr>
        <w:tc>
          <w:tcPr>
            <w:tcW w:w="5620" w:type="dxa"/>
            <w:vAlign w:val="bottom"/>
            <w:tcBorders>
              <w:bottom w:val="single" w:sz="8" w:color="E6E6E6"/>
            </w:tcBorders>
            <w:shd w:val="clear" w:color="auto" w:fill="EDFAEC"/>
          </w:tcPr>
          <w:p>
            <w:pPr>
              <w:ind w:left="80"/>
              <w:spacing w:after="0"/>
              <w:rPr>
                <w:sz w:val="20"/>
                <w:szCs w:val="20"/>
                <w:color w:val="auto"/>
              </w:rPr>
            </w:pPr>
            <w:r>
              <w:rPr>
                <w:rFonts w:ascii="Arial" w:cs="Arial" w:eastAsia="Arial" w:hAnsi="Arial"/>
                <w:sz w:val="16"/>
                <w:szCs w:val="16"/>
                <w:color w:val="auto"/>
              </w:rPr>
              <w:t>Annual Board Retainers</w:t>
            </w:r>
          </w:p>
        </w:tc>
        <w:tc>
          <w:tcPr>
            <w:tcW w:w="1680" w:type="dxa"/>
            <w:vAlign w:val="bottom"/>
            <w:tcBorders>
              <w:bottom w:val="single" w:sz="8" w:color="E6E6E6"/>
            </w:tcBorders>
            <w:shd w:val="clear" w:color="auto" w:fill="EDFAEC"/>
          </w:tcPr>
          <w:p>
            <w:pPr>
              <w:jc w:val="right"/>
              <w:ind w:right="81"/>
              <w:spacing w:after="0"/>
              <w:rPr>
                <w:sz w:val="20"/>
                <w:szCs w:val="20"/>
                <w:color w:val="auto"/>
              </w:rPr>
            </w:pPr>
            <w:r>
              <w:rPr>
                <w:rFonts w:ascii="Arial" w:cs="Arial" w:eastAsia="Arial" w:hAnsi="Arial"/>
                <w:sz w:val="16"/>
                <w:szCs w:val="16"/>
                <w:color w:val="auto"/>
              </w:rPr>
              <w:t>$100,000</w:t>
            </w:r>
          </w:p>
        </w:tc>
        <w:tc>
          <w:tcPr>
            <w:tcW w:w="14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$175,000</w:t>
            </w:r>
          </w:p>
        </w:tc>
      </w:tr>
      <w:tr>
        <w:trPr>
          <w:trHeight w:val="237"/>
        </w:trPr>
        <w:tc>
          <w:tcPr>
            <w:tcW w:w="5620" w:type="dxa"/>
            <w:vAlign w:val="bottom"/>
            <w:tcBorders>
              <w:bottom w:val="single" w:sz="8" w:color="431C5B"/>
            </w:tcBorders>
          </w:tcPr>
          <w:p>
            <w:pPr>
              <w:ind w:left="80"/>
              <w:spacing w:after="0"/>
              <w:rPr>
                <w:sz w:val="20"/>
                <w:szCs w:val="20"/>
                <w:color w:val="auto"/>
              </w:rPr>
            </w:pPr>
            <w:r>
              <w:rPr>
                <w:rFonts w:ascii="Arial" w:cs="Arial" w:eastAsia="Arial" w:hAnsi="Arial"/>
                <w:sz w:val="16"/>
                <w:szCs w:val="16"/>
                <w:color w:val="auto"/>
              </w:rPr>
              <w:t>Annual Equity Award</w:t>
            </w:r>
          </w:p>
        </w:tc>
        <w:tc>
          <w:tcPr>
            <w:tcW w:w="1680" w:type="dxa"/>
            <w:vAlign w:val="bottom"/>
            <w:tcBorders>
              <w:bottom w:val="single" w:sz="8" w:color="431C5B"/>
            </w:tcBorders>
          </w:tcPr>
          <w:p>
            <w:pPr>
              <w:jc w:val="right"/>
              <w:ind w:right="81"/>
              <w:spacing w:after="0"/>
              <w:rPr>
                <w:sz w:val="20"/>
                <w:szCs w:val="20"/>
                <w:color w:val="auto"/>
              </w:rPr>
            </w:pPr>
            <w:r>
              <w:rPr>
                <w:rFonts w:ascii="Arial" w:cs="Arial" w:eastAsia="Arial" w:hAnsi="Arial"/>
                <w:sz w:val="16"/>
                <w:szCs w:val="16"/>
                <w:color w:val="auto"/>
              </w:rPr>
              <w:t>$215,000</w:t>
            </w:r>
          </w:p>
        </w:tc>
        <w:tc>
          <w:tcPr>
            <w:tcW w:w="146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$315,000</w:t>
            </w:r>
          </w:p>
        </w:tc>
      </w:tr>
      <w:tr>
        <w:trPr>
          <w:trHeight w:val="459"/>
        </w:trPr>
        <w:tc>
          <w:tcPr>
            <w:tcW w:w="562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Annual Committee Fees</w:t>
            </w:r>
          </w:p>
        </w:tc>
        <w:tc>
          <w:tcPr>
            <w:tcW w:w="1680" w:type="dxa"/>
            <w:vAlign w:val="bottom"/>
            <w:tcBorders>
              <w:bottom w:val="single" w:sz="8" w:color="431C5B"/>
            </w:tcBorders>
          </w:tcPr>
          <w:p>
            <w:pPr>
              <w:jc w:val="right"/>
              <w:ind w:right="61"/>
              <w:spacing w:after="0"/>
              <w:rPr>
                <w:sz w:val="20"/>
                <w:szCs w:val="20"/>
                <w:color w:val="auto"/>
              </w:rPr>
            </w:pPr>
            <w:r>
              <w:rPr>
                <w:rFonts w:ascii="Arial" w:cs="Arial" w:eastAsia="Arial" w:hAnsi="Arial"/>
                <w:sz w:val="14"/>
                <w:szCs w:val="14"/>
                <w:b w:val="1"/>
                <w:bCs w:val="1"/>
                <w:color w:val="431C5B"/>
              </w:rPr>
              <w:t>Members</w:t>
            </w:r>
          </w:p>
        </w:tc>
        <w:tc>
          <w:tcPr>
            <w:tcW w:w="146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Chair</w:t>
            </w:r>
          </w:p>
        </w:tc>
      </w:tr>
      <w:tr>
        <w:trPr>
          <w:trHeight w:val="236"/>
        </w:trPr>
        <w:tc>
          <w:tcPr>
            <w:tcW w:w="5620" w:type="dxa"/>
            <w:vAlign w:val="bottom"/>
            <w:tcBorders>
              <w:bottom w:val="single" w:sz="8" w:color="E6E6E6"/>
            </w:tcBorders>
            <w:shd w:val="clear" w:color="auto" w:fill="EDFAEC"/>
          </w:tcPr>
          <w:p>
            <w:pPr>
              <w:ind w:left="80"/>
              <w:spacing w:after="0"/>
              <w:rPr>
                <w:sz w:val="20"/>
                <w:szCs w:val="20"/>
                <w:color w:val="auto"/>
              </w:rPr>
            </w:pPr>
            <w:r>
              <w:rPr>
                <w:rFonts w:ascii="Arial" w:cs="Arial" w:eastAsia="Arial" w:hAnsi="Arial"/>
                <w:sz w:val="16"/>
                <w:szCs w:val="16"/>
                <w:color w:val="auto"/>
              </w:rPr>
              <w:t>Audit Committee</w:t>
            </w:r>
          </w:p>
        </w:tc>
        <w:tc>
          <w:tcPr>
            <w:tcW w:w="1680" w:type="dxa"/>
            <w:vAlign w:val="bottom"/>
            <w:tcBorders>
              <w:bottom w:val="single" w:sz="8" w:color="E6E6E6"/>
            </w:tcBorders>
            <w:shd w:val="clear" w:color="auto" w:fill="EDFAEC"/>
          </w:tcPr>
          <w:p>
            <w:pPr>
              <w:jc w:val="right"/>
              <w:ind w:right="81"/>
              <w:spacing w:after="0"/>
              <w:rPr>
                <w:sz w:val="20"/>
                <w:szCs w:val="20"/>
                <w:color w:val="auto"/>
              </w:rPr>
            </w:pPr>
            <w:r>
              <w:rPr>
                <w:rFonts w:ascii="Arial" w:cs="Arial" w:eastAsia="Arial" w:hAnsi="Arial"/>
                <w:sz w:val="16"/>
                <w:szCs w:val="16"/>
                <w:color w:val="auto"/>
              </w:rPr>
              <w:t>$30,000</w:t>
            </w:r>
          </w:p>
        </w:tc>
        <w:tc>
          <w:tcPr>
            <w:tcW w:w="14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$65,000</w:t>
            </w:r>
          </w:p>
        </w:tc>
      </w:tr>
      <w:tr>
        <w:trPr>
          <w:trHeight w:val="236"/>
        </w:trPr>
        <w:tc>
          <w:tcPr>
            <w:tcW w:w="562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Compensation Committee</w:t>
            </w:r>
          </w:p>
        </w:tc>
        <w:tc>
          <w:tcPr>
            <w:tcW w:w="1680" w:type="dxa"/>
            <w:vAlign w:val="bottom"/>
            <w:tcBorders>
              <w:bottom w:val="single" w:sz="8" w:color="E6E6E6"/>
            </w:tcBorders>
          </w:tcPr>
          <w:p>
            <w:pPr>
              <w:jc w:val="right"/>
              <w:ind w:right="81"/>
              <w:spacing w:after="0"/>
              <w:rPr>
                <w:sz w:val="20"/>
                <w:szCs w:val="20"/>
                <w:color w:val="auto"/>
              </w:rPr>
            </w:pPr>
            <w:r>
              <w:rPr>
                <w:rFonts w:ascii="Arial" w:cs="Arial" w:eastAsia="Arial" w:hAnsi="Arial"/>
                <w:sz w:val="16"/>
                <w:szCs w:val="16"/>
                <w:color w:val="auto"/>
              </w:rPr>
              <w:t>$25,000</w:t>
            </w:r>
          </w:p>
        </w:tc>
        <w:tc>
          <w:tcPr>
            <w:tcW w:w="146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$55,000</w:t>
            </w:r>
          </w:p>
        </w:tc>
      </w:tr>
      <w:tr>
        <w:trPr>
          <w:trHeight w:val="236"/>
        </w:trPr>
        <w:tc>
          <w:tcPr>
            <w:tcW w:w="5620" w:type="dxa"/>
            <w:vAlign w:val="bottom"/>
            <w:tcBorders>
              <w:bottom w:val="single" w:sz="8" w:color="E6E6E6"/>
            </w:tcBorders>
            <w:shd w:val="clear" w:color="auto" w:fill="EDFAEC"/>
          </w:tcPr>
          <w:p>
            <w:pPr>
              <w:ind w:left="80"/>
              <w:spacing w:after="0"/>
              <w:rPr>
                <w:sz w:val="20"/>
                <w:szCs w:val="20"/>
                <w:color w:val="auto"/>
              </w:rPr>
            </w:pPr>
            <w:r>
              <w:rPr>
                <w:rFonts w:ascii="Arial" w:cs="Arial" w:eastAsia="Arial" w:hAnsi="Arial"/>
                <w:sz w:val="16"/>
                <w:szCs w:val="16"/>
                <w:color w:val="auto"/>
              </w:rPr>
              <w:t>Corporate Governance, Nominating and Sustainability Committee</w:t>
            </w:r>
          </w:p>
        </w:tc>
        <w:tc>
          <w:tcPr>
            <w:tcW w:w="1680" w:type="dxa"/>
            <w:vAlign w:val="bottom"/>
            <w:tcBorders>
              <w:bottom w:val="single" w:sz="8" w:color="E6E6E6"/>
            </w:tcBorders>
            <w:shd w:val="clear" w:color="auto" w:fill="EDFAEC"/>
          </w:tcPr>
          <w:p>
            <w:pPr>
              <w:jc w:val="right"/>
              <w:ind w:right="81"/>
              <w:spacing w:after="0"/>
              <w:rPr>
                <w:sz w:val="20"/>
                <w:szCs w:val="20"/>
                <w:color w:val="auto"/>
              </w:rPr>
            </w:pPr>
            <w:r>
              <w:rPr>
                <w:rFonts w:ascii="Arial" w:cs="Arial" w:eastAsia="Arial" w:hAnsi="Arial"/>
                <w:sz w:val="16"/>
                <w:szCs w:val="16"/>
                <w:color w:val="auto"/>
              </w:rPr>
              <w:t>$25,000</w:t>
            </w:r>
          </w:p>
        </w:tc>
        <w:tc>
          <w:tcPr>
            <w:tcW w:w="14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$55,000</w:t>
            </w:r>
          </w:p>
        </w:tc>
      </w:tr>
      <w:tr>
        <w:trPr>
          <w:trHeight w:val="237"/>
        </w:trPr>
        <w:tc>
          <w:tcPr>
            <w:tcW w:w="5620" w:type="dxa"/>
            <w:vAlign w:val="bottom"/>
            <w:tcBorders>
              <w:bottom w:val="single" w:sz="8" w:color="431C5B"/>
            </w:tcBorders>
          </w:tcPr>
          <w:p>
            <w:pPr>
              <w:ind w:left="80"/>
              <w:spacing w:after="0"/>
              <w:rPr>
                <w:sz w:val="20"/>
                <w:szCs w:val="20"/>
                <w:color w:val="auto"/>
              </w:rPr>
            </w:pPr>
            <w:r>
              <w:rPr>
                <w:rFonts w:ascii="Arial" w:cs="Arial" w:eastAsia="Arial" w:hAnsi="Arial"/>
                <w:sz w:val="16"/>
                <w:szCs w:val="16"/>
                <w:color w:val="auto"/>
              </w:rPr>
              <w:t>Risk and Technology Committee</w:t>
            </w:r>
          </w:p>
        </w:tc>
        <w:tc>
          <w:tcPr>
            <w:tcW w:w="1680" w:type="dxa"/>
            <w:vAlign w:val="bottom"/>
            <w:tcBorders>
              <w:bottom w:val="single" w:sz="8" w:color="431C5B"/>
            </w:tcBorders>
          </w:tcPr>
          <w:p>
            <w:pPr>
              <w:jc w:val="right"/>
              <w:ind w:right="81"/>
              <w:spacing w:after="0"/>
              <w:rPr>
                <w:sz w:val="20"/>
                <w:szCs w:val="20"/>
                <w:color w:val="auto"/>
              </w:rPr>
            </w:pPr>
            <w:r>
              <w:rPr>
                <w:rFonts w:ascii="Arial" w:cs="Arial" w:eastAsia="Arial" w:hAnsi="Arial"/>
                <w:sz w:val="16"/>
                <w:szCs w:val="16"/>
                <w:color w:val="auto"/>
              </w:rPr>
              <w:t>$25,000</w:t>
            </w:r>
          </w:p>
        </w:tc>
        <w:tc>
          <w:tcPr>
            <w:tcW w:w="146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$55,000</w:t>
            </w:r>
          </w:p>
        </w:tc>
      </w:tr>
    </w:tbl>
    <w:p>
      <w:pPr>
        <w:spacing w:after="0" w:line="215" w:lineRule="exact"/>
        <w:rPr>
          <w:sz w:val="20"/>
          <w:szCs w:val="20"/>
          <w:color w:val="auto"/>
        </w:rPr>
      </w:pPr>
    </w:p>
    <w:p>
      <w:pPr>
        <w:ind w:left="140" w:right="459"/>
        <w:spacing w:after="0" w:line="304" w:lineRule="auto"/>
        <w:rPr>
          <w:sz w:val="20"/>
          <w:szCs w:val="20"/>
          <w:color w:val="auto"/>
        </w:rPr>
      </w:pPr>
      <w:r>
        <w:rPr>
          <w:rFonts w:ascii="Arial" w:cs="Arial" w:eastAsia="Arial" w:hAnsi="Arial"/>
          <w:sz w:val="16"/>
          <w:szCs w:val="16"/>
          <w:color w:val="auto"/>
        </w:rPr>
        <w:t>Following the director election at our annual shareholders meeting, we grant each then-serving non-employee director RSUs with an aggregate grant date fair value equal to their annual equity award.</w:t>
      </w:r>
    </w:p>
    <w:p>
      <w:pPr>
        <w:spacing w:after="0" w:line="114" w:lineRule="exact"/>
        <w:rPr>
          <w:sz w:val="20"/>
          <w:szCs w:val="20"/>
          <w:color w:val="auto"/>
        </w:rPr>
      </w:pPr>
    </w:p>
    <w:p>
      <w:pPr>
        <w:ind w:left="140" w:right="159"/>
        <w:spacing w:after="0" w:line="321" w:lineRule="auto"/>
        <w:rPr>
          <w:sz w:val="20"/>
          <w:szCs w:val="20"/>
          <w:color w:val="auto"/>
        </w:rPr>
      </w:pPr>
      <w:r>
        <w:rPr>
          <w:rFonts w:ascii="Arial" w:cs="Arial" w:eastAsia="Arial" w:hAnsi="Arial"/>
          <w:sz w:val="16"/>
          <w:szCs w:val="16"/>
          <w:color w:val="auto"/>
        </w:rPr>
        <w:t>Directors who join the Board during the year receive a pro-rated RSU grant for their service on the Board vesting one year from their appointment.</w:t>
      </w:r>
    </w:p>
    <w:p>
      <w:pPr>
        <w:spacing w:after="0" w:line="88" w:lineRule="exact"/>
        <w:rPr>
          <w:sz w:val="20"/>
          <w:szCs w:val="20"/>
          <w:color w:val="auto"/>
        </w:rPr>
      </w:pPr>
    </w:p>
    <w:p>
      <w:pPr>
        <w:ind w:left="140" w:right="299"/>
        <w:spacing w:after="0" w:line="292" w:lineRule="auto"/>
        <w:rPr>
          <w:sz w:val="20"/>
          <w:szCs w:val="20"/>
          <w:color w:val="auto"/>
        </w:rPr>
      </w:pPr>
      <w:r>
        <w:rPr>
          <w:rFonts w:ascii="Arial" w:cs="Arial" w:eastAsia="Arial" w:hAnsi="Arial"/>
          <w:sz w:val="16"/>
          <w:szCs w:val="16"/>
          <w:color w:val="auto"/>
        </w:rPr>
        <w:t>Grants will vest in full upon the one-year anniversary of the date of grant, subject to continued service on our Board, and vested awards are generally settled shortly following vesting, unless the director elected to defer the settlement of the equity grant under the Board equity deferral program until a termination of service on our Board.</w:t>
      </w:r>
    </w:p>
    <w:p>
      <w:pPr>
        <w:spacing w:after="0" w:line="125" w:lineRule="exact"/>
        <w:rPr>
          <w:sz w:val="20"/>
          <w:szCs w:val="20"/>
          <w:color w:val="auto"/>
        </w:rPr>
      </w:pPr>
    </w:p>
    <w:p>
      <w:pPr>
        <w:ind w:left="140" w:right="519"/>
        <w:spacing w:after="0" w:line="321" w:lineRule="auto"/>
        <w:rPr>
          <w:sz w:val="20"/>
          <w:szCs w:val="20"/>
          <w:color w:val="auto"/>
        </w:rPr>
      </w:pPr>
      <w:r>
        <w:rPr>
          <w:rFonts w:ascii="Arial" w:cs="Arial" w:eastAsia="Arial" w:hAnsi="Arial"/>
          <w:sz w:val="16"/>
          <w:szCs w:val="16"/>
          <w:color w:val="auto"/>
        </w:rPr>
        <w:t>We also reimburse each non-employee director for all reasonable out-of-pocket expenses incurred in connection with attendance at Board and committee meetings.</w:t>
      </w:r>
    </w:p>
    <w:p>
      <w:pPr>
        <w:spacing w:after="0" w:line="88" w:lineRule="exact"/>
        <w:rPr>
          <w:sz w:val="20"/>
          <w:szCs w:val="20"/>
          <w:color w:val="auto"/>
        </w:rPr>
      </w:pPr>
    </w:p>
    <w:p>
      <w:pPr>
        <w:jc w:val="both"/>
        <w:ind w:left="140" w:right="139"/>
        <w:spacing w:after="0" w:line="287" w:lineRule="auto"/>
        <w:rPr>
          <w:sz w:val="20"/>
          <w:szCs w:val="20"/>
          <w:color w:val="auto"/>
        </w:rPr>
      </w:pPr>
      <w:r>
        <w:rPr>
          <w:rFonts w:ascii="Arial" w:cs="Arial" w:eastAsia="Arial" w:hAnsi="Arial"/>
          <w:sz w:val="16"/>
          <w:szCs w:val="16"/>
          <w:color w:val="auto"/>
        </w:rPr>
        <w:t>Each non-employee member of our Board is eligible to participate in our Deferred Compensation Plan, under which Board members may elect to defer up to 100% of their Board and committee fees. Deferred amounts are deemed to be invested on the director’s behalf and are held in our general funds and paid in cash upon termination of service on our Board. Each non-employee director also is eligible to participate in our Board equity deferral program, which permits Board members to defer the settlement of their annual equity grants until termination of service on our Board.</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hanging="429"/>
        <w:spacing w:after="0"/>
        <w:tabs>
          <w:tab w:leader="none" w:pos="620" w:val="left"/>
        </w:tabs>
        <w:numPr>
          <w:ilvl w:val="0"/>
          <w:numId w:val="60"/>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45" w:name="page46"/>
    <w:bookmarkEnd w:id="45"/>
    <w:p>
      <w:pPr>
        <w:ind w:left="66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15" w:lineRule="exact"/>
        <w:rPr>
          <w:sz w:val="20"/>
          <w:szCs w:val="20"/>
          <w:color w:val="auto"/>
        </w:rPr>
      </w:pPr>
    </w:p>
    <w:p>
      <w:pPr>
        <w:jc w:val="both"/>
        <w:ind w:left="140" w:right="299"/>
        <w:spacing w:after="0" w:line="321" w:lineRule="auto"/>
        <w:rPr>
          <w:sz w:val="20"/>
          <w:szCs w:val="20"/>
          <w:color w:val="auto"/>
        </w:rPr>
      </w:pPr>
      <w:r>
        <w:rPr>
          <w:rFonts w:ascii="Arial" w:cs="Arial" w:eastAsia="Arial" w:hAnsi="Arial"/>
          <w:sz w:val="16"/>
          <w:szCs w:val="16"/>
          <w:color w:val="auto"/>
        </w:rPr>
        <w:t>In general, deferred amounts are not paid until after the director terminates service on our Board, at which time the director will be paid either in a lump sum or in annual payments over not more than ten years, as elected by the director.</w:t>
      </w:r>
    </w:p>
    <w:p>
      <w:pPr>
        <w:spacing w:after="0" w:line="88" w:lineRule="exact"/>
        <w:rPr>
          <w:sz w:val="20"/>
          <w:szCs w:val="20"/>
          <w:color w:val="auto"/>
        </w:rPr>
      </w:pPr>
    </w:p>
    <w:p>
      <w:pPr>
        <w:jc w:val="both"/>
        <w:ind w:left="140" w:right="299"/>
        <w:spacing w:after="0" w:line="292" w:lineRule="auto"/>
        <w:rPr>
          <w:sz w:val="20"/>
          <w:szCs w:val="20"/>
          <w:color w:val="auto"/>
        </w:rPr>
      </w:pPr>
      <w:r>
        <w:rPr>
          <w:rFonts w:ascii="Arial" w:cs="Arial" w:eastAsia="Arial" w:hAnsi="Arial"/>
          <w:sz w:val="16"/>
          <w:szCs w:val="16"/>
          <w:color w:val="auto"/>
        </w:rPr>
        <w:t>The following table sets forth information concerning the compensation of our non-employee directors for the fiscal year ending December 31, 2025. As an employee director, Ms. Ferris is not compensated as a director in connection with her service on our Board. Her compensation is disclosed in the 2025 Summary Compensation Table on page 72:</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3040" w:type="dxa"/>
            <w:vAlign w:val="bottom"/>
          </w:tcPr>
          <w:p>
            <w:pPr>
              <w:jc w:val="right"/>
              <w:ind w:right="244"/>
              <w:spacing w:after="0"/>
              <w:rPr>
                <w:sz w:val="20"/>
                <w:szCs w:val="20"/>
                <w:color w:val="auto"/>
              </w:rPr>
            </w:pPr>
            <w:r>
              <w:rPr>
                <w:rFonts w:ascii="Arial" w:cs="Arial" w:eastAsia="Arial" w:hAnsi="Arial"/>
                <w:sz w:val="14"/>
                <w:szCs w:val="14"/>
                <w:b w:val="1"/>
                <w:bCs w:val="1"/>
                <w:color w:val="431C5B"/>
              </w:rPr>
              <w:t>Fees earned or</w:t>
            </w:r>
          </w:p>
        </w:tc>
        <w:tc>
          <w:tcPr>
            <w:tcW w:w="1260" w:type="dxa"/>
            <w:vAlign w:val="bottom"/>
          </w:tcPr>
          <w:p>
            <w:pPr>
              <w:jc w:val="right"/>
              <w:ind w:right="244"/>
              <w:spacing w:after="0"/>
              <w:rPr>
                <w:sz w:val="20"/>
                <w:szCs w:val="20"/>
                <w:color w:val="auto"/>
              </w:rPr>
            </w:pPr>
            <w:r>
              <w:rPr>
                <w:rFonts w:ascii="Arial" w:cs="Arial" w:eastAsia="Arial" w:hAnsi="Arial"/>
                <w:sz w:val="14"/>
                <w:szCs w:val="14"/>
                <w:b w:val="1"/>
                <w:bCs w:val="1"/>
                <w:color w:val="431C5B"/>
              </w:rPr>
              <w:t>Stock</w:t>
            </w:r>
          </w:p>
        </w:tc>
        <w:tc>
          <w:tcPr>
            <w:tcW w:w="980" w:type="dxa"/>
            <w:vAlign w:val="bottom"/>
          </w:tcPr>
          <w:p>
            <w:pPr>
              <w:spacing w:after="0"/>
              <w:rPr>
                <w:sz w:val="15"/>
                <w:szCs w:val="15"/>
                <w:color w:val="auto"/>
              </w:rPr>
            </w:pPr>
          </w:p>
        </w:tc>
      </w:tr>
      <w:tr>
        <w:trPr>
          <w:trHeight w:val="160"/>
        </w:trPr>
        <w:tc>
          <w:tcPr>
            <w:tcW w:w="3480" w:type="dxa"/>
            <w:vAlign w:val="bottom"/>
          </w:tcPr>
          <w:p>
            <w:pPr>
              <w:spacing w:after="0"/>
              <w:rPr>
                <w:sz w:val="13"/>
                <w:szCs w:val="13"/>
                <w:color w:val="auto"/>
              </w:rPr>
            </w:pPr>
          </w:p>
        </w:tc>
        <w:tc>
          <w:tcPr>
            <w:tcW w:w="3040" w:type="dxa"/>
            <w:vAlign w:val="bottom"/>
          </w:tcPr>
          <w:p>
            <w:pPr>
              <w:jc w:val="right"/>
              <w:ind w:right="244"/>
              <w:spacing w:after="0" w:line="159" w:lineRule="exact"/>
              <w:rPr>
                <w:sz w:val="20"/>
                <w:szCs w:val="20"/>
                <w:color w:val="auto"/>
              </w:rPr>
            </w:pPr>
            <w:r>
              <w:rPr>
                <w:rFonts w:ascii="Arial" w:cs="Arial" w:eastAsia="Arial" w:hAnsi="Arial"/>
                <w:sz w:val="14"/>
                <w:szCs w:val="14"/>
                <w:b w:val="1"/>
                <w:bCs w:val="1"/>
                <w:color w:val="431C5B"/>
              </w:rPr>
              <w:t>paid in cash</w:t>
            </w:r>
          </w:p>
        </w:tc>
        <w:tc>
          <w:tcPr>
            <w:tcW w:w="1260" w:type="dxa"/>
            <w:vAlign w:val="bottom"/>
          </w:tcPr>
          <w:p>
            <w:pPr>
              <w:jc w:val="right"/>
              <w:ind w:right="244"/>
              <w:spacing w:after="0" w:line="159" w:lineRule="exact"/>
              <w:rPr>
                <w:sz w:val="20"/>
                <w:szCs w:val="20"/>
                <w:color w:val="auto"/>
              </w:rPr>
            </w:pPr>
            <w:r>
              <w:rPr>
                <w:rFonts w:ascii="Arial" w:cs="Arial" w:eastAsia="Arial" w:hAnsi="Arial"/>
                <w:sz w:val="14"/>
                <w:szCs w:val="14"/>
                <w:b w:val="1"/>
                <w:bCs w:val="1"/>
                <w:color w:val="431C5B"/>
              </w:rPr>
              <w:t>awards</w:t>
            </w:r>
          </w:p>
        </w:tc>
        <w:tc>
          <w:tcPr>
            <w:tcW w:w="980" w:type="dxa"/>
            <w:vAlign w:val="bottom"/>
          </w:tcPr>
          <w:p>
            <w:pPr>
              <w:jc w:val="right"/>
              <w:spacing w:after="0" w:line="159" w:lineRule="exact"/>
              <w:rPr>
                <w:sz w:val="20"/>
                <w:szCs w:val="20"/>
                <w:color w:val="auto"/>
              </w:rPr>
            </w:pPr>
            <w:r>
              <w:rPr>
                <w:rFonts w:ascii="Arial" w:cs="Arial" w:eastAsia="Arial" w:hAnsi="Arial"/>
                <w:sz w:val="14"/>
                <w:szCs w:val="14"/>
                <w:b w:val="1"/>
                <w:bCs w:val="1"/>
                <w:color w:val="431C5B"/>
              </w:rPr>
              <w:t>Total</w:t>
            </w:r>
          </w:p>
        </w:tc>
      </w:tr>
      <w:tr>
        <w:trPr>
          <w:trHeight w:val="187"/>
        </w:trPr>
        <w:tc>
          <w:tcPr>
            <w:tcW w:w="348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3040" w:type="dxa"/>
            <w:vAlign w:val="bottom"/>
            <w:tcBorders>
              <w:bottom w:val="single" w:sz="8" w:color="431C5B"/>
            </w:tcBorders>
          </w:tcPr>
          <w:p>
            <w:pPr>
              <w:jc w:val="right"/>
              <w:ind w:right="244"/>
              <w:spacing w:after="0" w:line="188" w:lineRule="exact"/>
              <w:rPr>
                <w:sz w:val="20"/>
                <w:szCs w:val="20"/>
                <w:color w:val="auto"/>
              </w:rPr>
            </w:pPr>
            <w:r>
              <w:rPr>
                <w:rFonts w:ascii="Arial" w:cs="Arial" w:eastAsia="Arial" w:hAnsi="Arial"/>
                <w:sz w:val="21"/>
                <w:szCs w:val="21"/>
                <w:b w:val="1"/>
                <w:bCs w:val="1"/>
                <w:color w:val="431C5B"/>
                <w:vertAlign w:val="subscript"/>
              </w:rPr>
              <w:t>($)</w:t>
            </w:r>
            <w:r>
              <w:rPr>
                <w:rFonts w:ascii="Arial" w:cs="Arial" w:eastAsia="Arial" w:hAnsi="Arial"/>
                <w:sz w:val="8"/>
                <w:szCs w:val="8"/>
                <w:b w:val="1"/>
                <w:bCs w:val="1"/>
                <w:color w:val="431C5B"/>
              </w:rPr>
              <w:t>(1)</w:t>
            </w:r>
          </w:p>
        </w:tc>
        <w:tc>
          <w:tcPr>
            <w:tcW w:w="1260" w:type="dxa"/>
            <w:vAlign w:val="bottom"/>
            <w:tcBorders>
              <w:bottom w:val="single" w:sz="8" w:color="431C5B"/>
            </w:tcBorders>
          </w:tcPr>
          <w:p>
            <w:pPr>
              <w:jc w:val="right"/>
              <w:ind w:right="244"/>
              <w:spacing w:after="0" w:line="188" w:lineRule="exact"/>
              <w:rPr>
                <w:sz w:val="20"/>
                <w:szCs w:val="20"/>
                <w:color w:val="auto"/>
              </w:rPr>
            </w:pPr>
            <w:r>
              <w:rPr>
                <w:rFonts w:ascii="Arial" w:cs="Arial" w:eastAsia="Arial" w:hAnsi="Arial"/>
                <w:sz w:val="21"/>
                <w:szCs w:val="21"/>
                <w:b w:val="1"/>
                <w:bCs w:val="1"/>
                <w:color w:val="431C5B"/>
                <w:vertAlign w:val="subscript"/>
              </w:rPr>
              <w:t>($)</w:t>
            </w:r>
            <w:r>
              <w:rPr>
                <w:rFonts w:ascii="Arial" w:cs="Arial" w:eastAsia="Arial" w:hAnsi="Arial"/>
                <w:sz w:val="8"/>
                <w:szCs w:val="8"/>
                <w:b w:val="1"/>
                <w:bCs w:val="1"/>
                <w:color w:val="431C5B"/>
              </w:rPr>
              <w:t>(2)(3)</w:t>
            </w:r>
          </w:p>
        </w:tc>
        <w:tc>
          <w:tcPr>
            <w:tcW w:w="98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w:t>
            </w:r>
          </w:p>
        </w:tc>
      </w:tr>
      <w:tr>
        <w:trPr>
          <w:trHeight w:val="209"/>
        </w:trPr>
        <w:tc>
          <w:tcPr>
            <w:tcW w:w="3480" w:type="dxa"/>
            <w:vAlign w:val="bottom"/>
            <w:tcBorders>
              <w:bottom w:val="single" w:sz="8" w:color="E6E6E6"/>
            </w:tcBorders>
            <w:shd w:val="clear" w:color="auto" w:fill="EEFAEC"/>
          </w:tcPr>
          <w:p>
            <w:pPr>
              <w:ind w:left="80"/>
              <w:spacing w:after="0" w:line="210" w:lineRule="exact"/>
              <w:rPr>
                <w:sz w:val="20"/>
                <w:szCs w:val="20"/>
                <w:color w:val="auto"/>
              </w:rPr>
            </w:pPr>
            <w:r>
              <w:rPr>
                <w:rFonts w:ascii="Arial" w:cs="Arial" w:eastAsia="Arial" w:hAnsi="Arial"/>
                <w:sz w:val="16"/>
                <w:szCs w:val="16"/>
                <w:b w:val="1"/>
                <w:bCs w:val="1"/>
                <w:color w:val="431C5B"/>
              </w:rPr>
              <w:t>Lee Adrean</w:t>
            </w:r>
            <w:r>
              <w:rPr>
                <w:rFonts w:ascii="Arial" w:cs="Arial" w:eastAsia="Arial" w:hAnsi="Arial"/>
                <w:sz w:val="21"/>
                <w:szCs w:val="21"/>
                <w:b w:val="1"/>
                <w:bCs w:val="1"/>
                <w:color w:val="431C5B"/>
                <w:vertAlign w:val="superscript"/>
              </w:rPr>
              <w:t>(4)</w:t>
            </w:r>
          </w:p>
        </w:tc>
        <w:tc>
          <w:tcPr>
            <w:tcW w:w="3040" w:type="dxa"/>
            <w:vAlign w:val="bottom"/>
            <w:tcBorders>
              <w:bottom w:val="single" w:sz="8" w:color="E6E6E6"/>
            </w:tcBorders>
            <w:shd w:val="clear" w:color="auto" w:fill="EEFAEC"/>
          </w:tcPr>
          <w:p>
            <w:pPr>
              <w:jc w:val="right"/>
              <w:ind w:right="264"/>
              <w:spacing w:after="0"/>
              <w:rPr>
                <w:sz w:val="20"/>
                <w:szCs w:val="20"/>
                <w:color w:val="auto"/>
              </w:rPr>
            </w:pPr>
            <w:r>
              <w:rPr>
                <w:rFonts w:ascii="Arial" w:cs="Arial" w:eastAsia="Arial" w:hAnsi="Arial"/>
                <w:sz w:val="16"/>
                <w:szCs w:val="16"/>
                <w:color w:val="auto"/>
              </w:rPr>
              <w:t>65,625</w:t>
            </w:r>
          </w:p>
        </w:tc>
        <w:tc>
          <w:tcPr>
            <w:tcW w:w="1260" w:type="dxa"/>
            <w:vAlign w:val="bottom"/>
            <w:tcBorders>
              <w:bottom w:val="single" w:sz="8" w:color="E6E6E6"/>
            </w:tcBorders>
            <w:shd w:val="clear" w:color="auto" w:fill="EEFAEC"/>
          </w:tcPr>
          <w:p>
            <w:pPr>
              <w:jc w:val="right"/>
              <w:ind w:right="264"/>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65,625</w:t>
            </w:r>
          </w:p>
        </w:tc>
      </w:tr>
      <w:tr>
        <w:trPr>
          <w:trHeight w:val="210"/>
        </w:trPr>
        <w:tc>
          <w:tcPr>
            <w:tcW w:w="348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Nicole M. Anasenes</w:t>
            </w:r>
          </w:p>
        </w:tc>
        <w:tc>
          <w:tcPr>
            <w:tcW w:w="3040" w:type="dxa"/>
            <w:vAlign w:val="bottom"/>
            <w:tcBorders>
              <w:bottom w:val="single" w:sz="8" w:color="E6E6E6"/>
            </w:tcBorders>
          </w:tcPr>
          <w:p>
            <w:pPr>
              <w:jc w:val="right"/>
              <w:ind w:right="264"/>
              <w:spacing w:after="0"/>
              <w:rPr>
                <w:sz w:val="20"/>
                <w:szCs w:val="20"/>
                <w:color w:val="auto"/>
              </w:rPr>
            </w:pPr>
            <w:r>
              <w:rPr>
                <w:rFonts w:ascii="Arial" w:cs="Arial" w:eastAsia="Arial" w:hAnsi="Arial"/>
                <w:sz w:val="16"/>
                <w:szCs w:val="16"/>
                <w:color w:val="auto"/>
              </w:rPr>
              <w:t>183,958</w:t>
            </w:r>
          </w:p>
        </w:tc>
        <w:tc>
          <w:tcPr>
            <w:tcW w:w="1260" w:type="dxa"/>
            <w:vAlign w:val="bottom"/>
            <w:tcBorders>
              <w:bottom w:val="single" w:sz="8" w:color="E6E6E6"/>
            </w:tcBorders>
          </w:tcPr>
          <w:p>
            <w:pPr>
              <w:jc w:val="right"/>
              <w:ind w:right="264"/>
              <w:spacing w:after="0"/>
              <w:rPr>
                <w:sz w:val="20"/>
                <w:szCs w:val="20"/>
                <w:color w:val="auto"/>
              </w:rPr>
            </w:pPr>
            <w:r>
              <w:rPr>
                <w:rFonts w:ascii="Arial" w:cs="Arial" w:eastAsia="Arial" w:hAnsi="Arial"/>
                <w:sz w:val="16"/>
                <w:szCs w:val="16"/>
                <w:color w:val="auto"/>
              </w:rPr>
              <w:t>214,971</w:t>
            </w:r>
          </w:p>
        </w:tc>
        <w:tc>
          <w:tcPr>
            <w:tcW w:w="9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398,929</w:t>
            </w:r>
          </w:p>
        </w:tc>
      </w:tr>
      <w:tr>
        <w:trPr>
          <w:trHeight w:val="209"/>
        </w:trPr>
        <w:tc>
          <w:tcPr>
            <w:tcW w:w="3480" w:type="dxa"/>
            <w:vAlign w:val="bottom"/>
            <w:tcBorders>
              <w:bottom w:val="single" w:sz="8" w:color="E6E6E6"/>
            </w:tcBorders>
            <w:shd w:val="clear" w:color="auto" w:fill="EDFAEC"/>
          </w:tcPr>
          <w:p>
            <w:pPr>
              <w:ind w:left="80"/>
              <w:spacing w:after="0" w:line="210" w:lineRule="exact"/>
              <w:rPr>
                <w:sz w:val="20"/>
                <w:szCs w:val="20"/>
                <w:color w:val="auto"/>
              </w:rPr>
            </w:pPr>
            <w:r>
              <w:rPr>
                <w:rFonts w:ascii="Arial" w:cs="Arial" w:eastAsia="Arial" w:hAnsi="Arial"/>
                <w:sz w:val="16"/>
                <w:szCs w:val="16"/>
                <w:b w:val="1"/>
                <w:bCs w:val="1"/>
                <w:color w:val="431C5B"/>
              </w:rPr>
              <w:t>Mark D. Benjamin</w:t>
            </w:r>
            <w:r>
              <w:rPr>
                <w:rFonts w:ascii="Arial" w:cs="Arial" w:eastAsia="Arial" w:hAnsi="Arial"/>
                <w:sz w:val="21"/>
                <w:szCs w:val="21"/>
                <w:b w:val="1"/>
                <w:bCs w:val="1"/>
                <w:color w:val="431C5B"/>
                <w:vertAlign w:val="superscript"/>
              </w:rPr>
              <w:t>(5)</w:t>
            </w:r>
          </w:p>
        </w:tc>
        <w:tc>
          <w:tcPr>
            <w:tcW w:w="3040" w:type="dxa"/>
            <w:vAlign w:val="bottom"/>
            <w:tcBorders>
              <w:bottom w:val="single" w:sz="8" w:color="E6E6E6"/>
            </w:tcBorders>
            <w:shd w:val="clear" w:color="auto" w:fill="EDFAEC"/>
          </w:tcPr>
          <w:p>
            <w:pPr>
              <w:jc w:val="right"/>
              <w:ind w:right="264"/>
              <w:spacing w:after="0"/>
              <w:rPr>
                <w:sz w:val="20"/>
                <w:szCs w:val="20"/>
                <w:color w:val="auto"/>
              </w:rPr>
            </w:pPr>
            <w:r>
              <w:rPr>
                <w:rFonts w:ascii="Arial" w:cs="Arial" w:eastAsia="Arial" w:hAnsi="Arial"/>
                <w:sz w:val="16"/>
                <w:szCs w:val="16"/>
                <w:color w:val="auto"/>
              </w:rPr>
              <w:t>150,000</w:t>
            </w:r>
          </w:p>
        </w:tc>
        <w:tc>
          <w:tcPr>
            <w:tcW w:w="1260" w:type="dxa"/>
            <w:vAlign w:val="bottom"/>
            <w:tcBorders>
              <w:bottom w:val="single" w:sz="8" w:color="E6E6E6"/>
            </w:tcBorders>
            <w:shd w:val="clear" w:color="auto" w:fill="EDFAEC"/>
          </w:tcPr>
          <w:p>
            <w:pPr>
              <w:jc w:val="right"/>
              <w:ind w:right="264"/>
              <w:spacing w:after="0"/>
              <w:rPr>
                <w:sz w:val="20"/>
                <w:szCs w:val="20"/>
                <w:color w:val="auto"/>
              </w:rPr>
            </w:pPr>
            <w:r>
              <w:rPr>
                <w:rFonts w:ascii="Arial" w:cs="Arial" w:eastAsia="Arial" w:hAnsi="Arial"/>
                <w:sz w:val="16"/>
                <w:szCs w:val="16"/>
                <w:color w:val="auto"/>
              </w:rPr>
              <w:t>214,971</w:t>
            </w:r>
          </w:p>
        </w:tc>
        <w:tc>
          <w:tcPr>
            <w:tcW w:w="9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364,971</w:t>
            </w:r>
          </w:p>
        </w:tc>
      </w:tr>
      <w:tr>
        <w:trPr>
          <w:trHeight w:val="209"/>
        </w:trPr>
        <w:tc>
          <w:tcPr>
            <w:tcW w:w="348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Kourtney K. Gibson</w:t>
            </w:r>
          </w:p>
        </w:tc>
        <w:tc>
          <w:tcPr>
            <w:tcW w:w="3040" w:type="dxa"/>
            <w:vAlign w:val="bottom"/>
            <w:tcBorders>
              <w:bottom w:val="single" w:sz="8" w:color="E6E6E6"/>
            </w:tcBorders>
          </w:tcPr>
          <w:p>
            <w:pPr>
              <w:jc w:val="right"/>
              <w:ind w:right="264"/>
              <w:spacing w:after="0"/>
              <w:rPr>
                <w:sz w:val="20"/>
                <w:szCs w:val="20"/>
                <w:color w:val="auto"/>
              </w:rPr>
            </w:pPr>
            <w:r>
              <w:rPr>
                <w:rFonts w:ascii="Arial" w:cs="Arial" w:eastAsia="Arial" w:hAnsi="Arial"/>
                <w:sz w:val="16"/>
                <w:szCs w:val="16"/>
                <w:color w:val="auto"/>
              </w:rPr>
              <w:t>155,000</w:t>
            </w:r>
          </w:p>
        </w:tc>
        <w:tc>
          <w:tcPr>
            <w:tcW w:w="1260" w:type="dxa"/>
            <w:vAlign w:val="bottom"/>
            <w:tcBorders>
              <w:bottom w:val="single" w:sz="8" w:color="E6E6E6"/>
            </w:tcBorders>
          </w:tcPr>
          <w:p>
            <w:pPr>
              <w:jc w:val="right"/>
              <w:ind w:right="264"/>
              <w:spacing w:after="0"/>
              <w:rPr>
                <w:sz w:val="20"/>
                <w:szCs w:val="20"/>
                <w:color w:val="auto"/>
              </w:rPr>
            </w:pPr>
            <w:r>
              <w:rPr>
                <w:rFonts w:ascii="Arial" w:cs="Arial" w:eastAsia="Arial" w:hAnsi="Arial"/>
                <w:sz w:val="16"/>
                <w:szCs w:val="16"/>
                <w:color w:val="auto"/>
              </w:rPr>
              <w:t>214,971</w:t>
            </w:r>
          </w:p>
        </w:tc>
        <w:tc>
          <w:tcPr>
            <w:tcW w:w="9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369,971</w:t>
            </w:r>
          </w:p>
        </w:tc>
      </w:tr>
      <w:tr>
        <w:trPr>
          <w:trHeight w:val="210"/>
        </w:trPr>
        <w:tc>
          <w:tcPr>
            <w:tcW w:w="3480" w:type="dxa"/>
            <w:vAlign w:val="bottom"/>
            <w:tcBorders>
              <w:bottom w:val="single" w:sz="8" w:color="E6E6E6"/>
            </w:tcBorders>
            <w:shd w:val="clear" w:color="auto" w:fill="EDFAEC"/>
          </w:tcPr>
          <w:p>
            <w:pPr>
              <w:ind w:left="80"/>
              <w:spacing w:after="0"/>
              <w:rPr>
                <w:sz w:val="20"/>
                <w:szCs w:val="20"/>
                <w:color w:val="auto"/>
              </w:rPr>
            </w:pPr>
            <w:r>
              <w:rPr>
                <w:rFonts w:ascii="Arial" w:cs="Arial" w:eastAsia="Arial" w:hAnsi="Arial"/>
                <w:sz w:val="16"/>
                <w:szCs w:val="16"/>
                <w:b w:val="1"/>
                <w:bCs w:val="1"/>
                <w:color w:val="431C5B"/>
              </w:rPr>
              <w:t>Jeffrey A. Goldstein</w:t>
            </w:r>
          </w:p>
        </w:tc>
        <w:tc>
          <w:tcPr>
            <w:tcW w:w="3040" w:type="dxa"/>
            <w:vAlign w:val="bottom"/>
            <w:tcBorders>
              <w:bottom w:val="single" w:sz="8" w:color="E6E6E6"/>
            </w:tcBorders>
            <w:shd w:val="clear" w:color="auto" w:fill="EDFAEC"/>
          </w:tcPr>
          <w:p>
            <w:pPr>
              <w:jc w:val="right"/>
              <w:ind w:right="264"/>
              <w:spacing w:after="0"/>
              <w:rPr>
                <w:sz w:val="20"/>
                <w:szCs w:val="20"/>
                <w:color w:val="auto"/>
              </w:rPr>
            </w:pPr>
            <w:r>
              <w:rPr>
                <w:rFonts w:ascii="Arial" w:cs="Arial" w:eastAsia="Arial" w:hAnsi="Arial"/>
                <w:sz w:val="16"/>
                <w:szCs w:val="16"/>
                <w:color w:val="auto"/>
              </w:rPr>
              <w:t>225,000</w:t>
            </w:r>
          </w:p>
        </w:tc>
        <w:tc>
          <w:tcPr>
            <w:tcW w:w="1260" w:type="dxa"/>
            <w:vAlign w:val="bottom"/>
            <w:tcBorders>
              <w:bottom w:val="single" w:sz="8" w:color="E6E6E6"/>
            </w:tcBorders>
            <w:shd w:val="clear" w:color="auto" w:fill="EDFAEC"/>
          </w:tcPr>
          <w:p>
            <w:pPr>
              <w:jc w:val="right"/>
              <w:ind w:right="264"/>
              <w:spacing w:after="0"/>
              <w:rPr>
                <w:sz w:val="20"/>
                <w:szCs w:val="20"/>
                <w:color w:val="auto"/>
              </w:rPr>
            </w:pPr>
            <w:r>
              <w:rPr>
                <w:rFonts w:ascii="Arial" w:cs="Arial" w:eastAsia="Arial" w:hAnsi="Arial"/>
                <w:sz w:val="16"/>
                <w:szCs w:val="16"/>
                <w:color w:val="auto"/>
              </w:rPr>
              <w:t>314,999</w:t>
            </w:r>
          </w:p>
        </w:tc>
        <w:tc>
          <w:tcPr>
            <w:tcW w:w="9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539,999</w:t>
            </w:r>
          </w:p>
        </w:tc>
      </w:tr>
      <w:tr>
        <w:trPr>
          <w:trHeight w:val="209"/>
        </w:trPr>
        <w:tc>
          <w:tcPr>
            <w:tcW w:w="348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Lisa A. Hook</w:t>
            </w:r>
          </w:p>
        </w:tc>
        <w:tc>
          <w:tcPr>
            <w:tcW w:w="3040" w:type="dxa"/>
            <w:vAlign w:val="bottom"/>
            <w:tcBorders>
              <w:bottom w:val="single" w:sz="8" w:color="E6E6E6"/>
            </w:tcBorders>
          </w:tcPr>
          <w:p>
            <w:pPr>
              <w:jc w:val="right"/>
              <w:ind w:right="264"/>
              <w:spacing w:after="0"/>
              <w:rPr>
                <w:sz w:val="20"/>
                <w:szCs w:val="20"/>
                <w:color w:val="auto"/>
              </w:rPr>
            </w:pPr>
            <w:r>
              <w:rPr>
                <w:rFonts w:ascii="Arial" w:cs="Arial" w:eastAsia="Arial" w:hAnsi="Arial"/>
                <w:sz w:val="16"/>
                <w:szCs w:val="16"/>
                <w:color w:val="auto"/>
              </w:rPr>
              <w:t>185,000</w:t>
            </w:r>
          </w:p>
        </w:tc>
        <w:tc>
          <w:tcPr>
            <w:tcW w:w="1260" w:type="dxa"/>
            <w:vAlign w:val="bottom"/>
            <w:tcBorders>
              <w:bottom w:val="single" w:sz="8" w:color="E6E6E6"/>
            </w:tcBorders>
          </w:tcPr>
          <w:p>
            <w:pPr>
              <w:jc w:val="right"/>
              <w:ind w:right="264"/>
              <w:spacing w:after="0"/>
              <w:rPr>
                <w:sz w:val="20"/>
                <w:szCs w:val="20"/>
                <w:color w:val="auto"/>
              </w:rPr>
            </w:pPr>
            <w:r>
              <w:rPr>
                <w:rFonts w:ascii="Arial" w:cs="Arial" w:eastAsia="Arial" w:hAnsi="Arial"/>
                <w:sz w:val="16"/>
                <w:szCs w:val="16"/>
                <w:color w:val="auto"/>
              </w:rPr>
              <w:t>214,971</w:t>
            </w:r>
          </w:p>
        </w:tc>
        <w:tc>
          <w:tcPr>
            <w:tcW w:w="9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399,971</w:t>
            </w:r>
          </w:p>
        </w:tc>
      </w:tr>
      <w:tr>
        <w:trPr>
          <w:trHeight w:val="209"/>
        </w:trPr>
        <w:tc>
          <w:tcPr>
            <w:tcW w:w="3480" w:type="dxa"/>
            <w:vAlign w:val="bottom"/>
            <w:tcBorders>
              <w:bottom w:val="single" w:sz="8" w:color="E6E6E6"/>
            </w:tcBorders>
            <w:shd w:val="clear" w:color="auto" w:fill="EDFAEC"/>
          </w:tcPr>
          <w:p>
            <w:pPr>
              <w:ind w:left="80"/>
              <w:spacing w:after="0"/>
              <w:rPr>
                <w:sz w:val="20"/>
                <w:szCs w:val="20"/>
                <w:color w:val="auto"/>
              </w:rPr>
            </w:pPr>
            <w:r>
              <w:rPr>
                <w:rFonts w:ascii="Arial" w:cs="Arial" w:eastAsia="Arial" w:hAnsi="Arial"/>
                <w:sz w:val="16"/>
                <w:szCs w:val="16"/>
                <w:b w:val="1"/>
                <w:bCs w:val="1"/>
                <w:color w:val="431C5B"/>
              </w:rPr>
              <w:t>Kenneth T. Lamneck</w:t>
            </w:r>
          </w:p>
        </w:tc>
        <w:tc>
          <w:tcPr>
            <w:tcW w:w="3040" w:type="dxa"/>
            <w:vAlign w:val="bottom"/>
            <w:tcBorders>
              <w:bottom w:val="single" w:sz="8" w:color="E6E6E6"/>
            </w:tcBorders>
            <w:shd w:val="clear" w:color="auto" w:fill="EDFAEC"/>
          </w:tcPr>
          <w:p>
            <w:pPr>
              <w:jc w:val="right"/>
              <w:ind w:right="264"/>
              <w:spacing w:after="0"/>
              <w:rPr>
                <w:sz w:val="20"/>
                <w:szCs w:val="20"/>
                <w:color w:val="auto"/>
              </w:rPr>
            </w:pPr>
            <w:r>
              <w:rPr>
                <w:rFonts w:ascii="Arial" w:cs="Arial" w:eastAsia="Arial" w:hAnsi="Arial"/>
                <w:sz w:val="16"/>
                <w:szCs w:val="16"/>
                <w:color w:val="auto"/>
              </w:rPr>
              <w:t>180,000</w:t>
            </w:r>
          </w:p>
        </w:tc>
        <w:tc>
          <w:tcPr>
            <w:tcW w:w="1260" w:type="dxa"/>
            <w:vAlign w:val="bottom"/>
            <w:tcBorders>
              <w:bottom w:val="single" w:sz="8" w:color="E6E6E6"/>
            </w:tcBorders>
            <w:shd w:val="clear" w:color="auto" w:fill="EDFAEC"/>
          </w:tcPr>
          <w:p>
            <w:pPr>
              <w:jc w:val="right"/>
              <w:ind w:right="264"/>
              <w:spacing w:after="0"/>
              <w:rPr>
                <w:sz w:val="20"/>
                <w:szCs w:val="20"/>
                <w:color w:val="auto"/>
              </w:rPr>
            </w:pPr>
            <w:r>
              <w:rPr>
                <w:rFonts w:ascii="Arial" w:cs="Arial" w:eastAsia="Arial" w:hAnsi="Arial"/>
                <w:sz w:val="16"/>
                <w:szCs w:val="16"/>
                <w:color w:val="auto"/>
              </w:rPr>
              <w:t>214,971</w:t>
            </w:r>
          </w:p>
        </w:tc>
        <w:tc>
          <w:tcPr>
            <w:tcW w:w="9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394,971</w:t>
            </w:r>
          </w:p>
        </w:tc>
      </w:tr>
      <w:tr>
        <w:trPr>
          <w:trHeight w:val="210"/>
        </w:trPr>
        <w:tc>
          <w:tcPr>
            <w:tcW w:w="348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Gary L. Lauer</w:t>
            </w:r>
          </w:p>
        </w:tc>
        <w:tc>
          <w:tcPr>
            <w:tcW w:w="3040" w:type="dxa"/>
            <w:vAlign w:val="bottom"/>
            <w:tcBorders>
              <w:bottom w:val="single" w:sz="8" w:color="E6E6E6"/>
            </w:tcBorders>
          </w:tcPr>
          <w:p>
            <w:pPr>
              <w:jc w:val="right"/>
              <w:ind w:right="264"/>
              <w:spacing w:after="0"/>
              <w:rPr>
                <w:sz w:val="20"/>
                <w:szCs w:val="20"/>
                <w:color w:val="auto"/>
              </w:rPr>
            </w:pPr>
            <w:r>
              <w:rPr>
                <w:rFonts w:ascii="Arial" w:cs="Arial" w:eastAsia="Arial" w:hAnsi="Arial"/>
                <w:sz w:val="16"/>
                <w:szCs w:val="16"/>
                <w:color w:val="auto"/>
              </w:rPr>
              <w:t>180,000</w:t>
            </w:r>
          </w:p>
        </w:tc>
        <w:tc>
          <w:tcPr>
            <w:tcW w:w="1260" w:type="dxa"/>
            <w:vAlign w:val="bottom"/>
            <w:tcBorders>
              <w:bottom w:val="single" w:sz="8" w:color="E6E6E6"/>
            </w:tcBorders>
          </w:tcPr>
          <w:p>
            <w:pPr>
              <w:jc w:val="right"/>
              <w:ind w:right="264"/>
              <w:spacing w:after="0"/>
              <w:rPr>
                <w:sz w:val="20"/>
                <w:szCs w:val="20"/>
                <w:color w:val="auto"/>
              </w:rPr>
            </w:pPr>
            <w:r>
              <w:rPr>
                <w:rFonts w:ascii="Arial" w:cs="Arial" w:eastAsia="Arial" w:hAnsi="Arial"/>
                <w:sz w:val="16"/>
                <w:szCs w:val="16"/>
                <w:color w:val="auto"/>
              </w:rPr>
              <w:t>214,971</w:t>
            </w:r>
          </w:p>
        </w:tc>
        <w:tc>
          <w:tcPr>
            <w:tcW w:w="9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394,971</w:t>
            </w:r>
          </w:p>
        </w:tc>
      </w:tr>
      <w:tr>
        <w:trPr>
          <w:trHeight w:val="209"/>
        </w:trPr>
        <w:tc>
          <w:tcPr>
            <w:tcW w:w="348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James B. Stallings, Jr.</w:t>
            </w:r>
          </w:p>
        </w:tc>
        <w:tc>
          <w:tcPr>
            <w:tcW w:w="3040" w:type="dxa"/>
            <w:vAlign w:val="bottom"/>
            <w:tcBorders>
              <w:bottom w:val="single" w:sz="8" w:color="431C5B"/>
            </w:tcBorders>
            <w:shd w:val="clear" w:color="auto" w:fill="EEFAEC"/>
          </w:tcPr>
          <w:p>
            <w:pPr>
              <w:jc w:val="right"/>
              <w:ind w:right="264"/>
              <w:spacing w:after="0"/>
              <w:rPr>
                <w:sz w:val="20"/>
                <w:szCs w:val="20"/>
                <w:color w:val="auto"/>
              </w:rPr>
            </w:pPr>
            <w:r>
              <w:rPr>
                <w:rFonts w:ascii="Arial" w:cs="Arial" w:eastAsia="Arial" w:hAnsi="Arial"/>
                <w:sz w:val="16"/>
                <w:szCs w:val="16"/>
                <w:color w:val="auto"/>
              </w:rPr>
              <w:t>150,000</w:t>
            </w:r>
          </w:p>
        </w:tc>
        <w:tc>
          <w:tcPr>
            <w:tcW w:w="1260" w:type="dxa"/>
            <w:vAlign w:val="bottom"/>
            <w:tcBorders>
              <w:bottom w:val="single" w:sz="8" w:color="431C5B"/>
            </w:tcBorders>
            <w:shd w:val="clear" w:color="auto" w:fill="EEFAEC"/>
          </w:tcPr>
          <w:p>
            <w:pPr>
              <w:jc w:val="right"/>
              <w:ind w:right="264"/>
              <w:spacing w:after="0"/>
              <w:rPr>
                <w:sz w:val="20"/>
                <w:szCs w:val="20"/>
                <w:color w:val="auto"/>
              </w:rPr>
            </w:pPr>
            <w:r>
              <w:rPr>
                <w:rFonts w:ascii="Arial" w:cs="Arial" w:eastAsia="Arial" w:hAnsi="Arial"/>
                <w:sz w:val="16"/>
                <w:szCs w:val="16"/>
                <w:color w:val="auto"/>
              </w:rPr>
              <w:t>214,971</w:t>
            </w:r>
          </w:p>
        </w:tc>
        <w:tc>
          <w:tcPr>
            <w:tcW w:w="98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364,971</w:t>
            </w:r>
          </w:p>
        </w:tc>
      </w:tr>
    </w:tbl>
    <w:p>
      <w:pPr>
        <w:spacing w:after="0" w:line="158" w:lineRule="exact"/>
        <w:rPr>
          <w:sz w:val="20"/>
          <w:szCs w:val="20"/>
          <w:color w:val="auto"/>
        </w:rPr>
      </w:pPr>
    </w:p>
    <w:p>
      <w:pPr>
        <w:ind w:left="380" w:right="1199" w:hanging="250"/>
        <w:spacing w:after="0" w:line="236" w:lineRule="auto"/>
        <w:tabs>
          <w:tab w:leader="none" w:pos="380"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Represents annual Board and committee retainers, including the portion that directors elected to defer under the Company’s Deferred Compensation Plan.</w:t>
      </w:r>
    </w:p>
    <w:p>
      <w:pPr>
        <w:spacing w:after="0" w:line="50" w:lineRule="exact"/>
        <w:rPr>
          <w:rFonts w:ascii="Arial" w:cs="Arial" w:eastAsia="Arial" w:hAnsi="Arial"/>
          <w:sz w:val="16"/>
          <w:szCs w:val="16"/>
          <w:color w:val="auto"/>
          <w:vertAlign w:val="superscript"/>
        </w:rPr>
      </w:pPr>
    </w:p>
    <w:p>
      <w:pPr>
        <w:ind w:left="380" w:right="139" w:hanging="250"/>
        <w:spacing w:after="0" w:line="245" w:lineRule="auto"/>
        <w:tabs>
          <w:tab w:leader="none" w:pos="380"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Includes the grant date fair value of stock awards granted during 2025 and calculated in accordance with FASB ASC Topic 718. Assumptions used in the calculation of these amounts are included in Note 19 to our consolidated financial statements for the fiscal year ended December 31, 2025, included in our Annual Report on the Form 10-K filed with the SEC on February 24, 2026.</w:t>
      </w:r>
    </w:p>
    <w:p>
      <w:pPr>
        <w:spacing w:after="0" w:line="46" w:lineRule="exact"/>
        <w:rPr>
          <w:rFonts w:ascii="Arial" w:cs="Arial" w:eastAsia="Arial" w:hAnsi="Arial"/>
          <w:sz w:val="16"/>
          <w:szCs w:val="16"/>
          <w:color w:val="auto"/>
          <w:vertAlign w:val="superscript"/>
        </w:rPr>
      </w:pPr>
    </w:p>
    <w:p>
      <w:pPr>
        <w:ind w:left="380" w:right="359" w:hanging="250"/>
        <w:spacing w:after="0" w:line="282" w:lineRule="auto"/>
        <w:tabs>
          <w:tab w:leader="none" w:pos="380" w:val="left"/>
        </w:tabs>
        <w:numPr>
          <w:ilvl w:val="0"/>
          <w:numId w:val="61"/>
        </w:numPr>
        <w:rPr>
          <w:rFonts w:ascii="Arial" w:cs="Arial" w:eastAsia="Arial" w:hAnsi="Arial"/>
          <w:sz w:val="15"/>
          <w:szCs w:val="15"/>
          <w:color w:val="auto"/>
          <w:vertAlign w:val="superscript"/>
        </w:rPr>
      </w:pPr>
      <w:r>
        <w:rPr>
          <w:rFonts w:ascii="Arial" w:cs="Arial" w:eastAsia="Arial" w:hAnsi="Arial"/>
          <w:sz w:val="12"/>
          <w:szCs w:val="12"/>
          <w:color w:val="auto"/>
        </w:rPr>
        <w:t>The aggregate number of shares (i) subject to unvested RSUs or (ii) deferred under the Board equity deferral program, in each case as of December 31, 2025 for each non-employee director who served during 2025 was: 0 for Mr. Adrean, 2,652 for Ms. Anasenes, 2,652 for Mr. Benjamin, 2,652 for Ms. Gibson, 19,259 for Mr. Goldstein, 14,482 for Ms. Hook, 2,652 for Mr. Lamneck, 14,482 for Mr. Lauer, and 2,652 for Mr. Stallings, Jr.</w:t>
      </w:r>
    </w:p>
    <w:p>
      <w:pPr>
        <w:spacing w:after="0" w:line="26" w:lineRule="exact"/>
        <w:rPr>
          <w:rFonts w:ascii="Arial" w:cs="Arial" w:eastAsia="Arial" w:hAnsi="Arial"/>
          <w:sz w:val="15"/>
          <w:szCs w:val="15"/>
          <w:color w:val="auto"/>
          <w:vertAlign w:val="superscript"/>
        </w:rPr>
      </w:pPr>
    </w:p>
    <w:p>
      <w:pPr>
        <w:ind w:left="380" w:right="899" w:hanging="250"/>
        <w:spacing w:after="0" w:line="236" w:lineRule="auto"/>
        <w:tabs>
          <w:tab w:leader="none" w:pos="380"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Mr. Adrean did not stand for re-election at the 2025 annual meeting of shareholders and departed the Board at the expiration of his term on June 12, 2025.</w:t>
      </w:r>
    </w:p>
    <w:p>
      <w:pPr>
        <w:spacing w:after="0" w:line="32" w:lineRule="exact"/>
        <w:rPr>
          <w:rFonts w:ascii="Arial" w:cs="Arial" w:eastAsia="Arial" w:hAnsi="Arial"/>
          <w:sz w:val="16"/>
          <w:szCs w:val="16"/>
          <w:color w:val="auto"/>
          <w:vertAlign w:val="superscript"/>
        </w:rPr>
      </w:pPr>
    </w:p>
    <w:p>
      <w:pPr>
        <w:ind w:left="380" w:hanging="250"/>
        <w:spacing w:after="0"/>
        <w:tabs>
          <w:tab w:leader="none" w:pos="380"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On March 30, 2026, Mr. Benjamin informed FIS that he would not be standing for re-election at the 2026 annual meeting of shareholders.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43</w:t>
      </w:r>
    </w:p>
    <w:p>
      <w:pPr>
        <w:sectPr>
          <w:pgSz w:w="11900" w:h="16838" w:orient="portrait"/>
          <w:cols w:equalWidth="0" w:num="1">
            <w:col w:w="9019"/>
          </w:cols>
          <w:pgMar w:left="1440" w:top="657" w:right="1440"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hanging="429"/>
        <w:spacing w:after="0"/>
        <w:tabs>
          <w:tab w:leader="none" w:pos="620" w:val="left"/>
        </w:tabs>
        <w:numPr>
          <w:ilvl w:val="0"/>
          <w:numId w:val="62"/>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80"/>
        <w:spacing w:after="0"/>
        <w:rPr>
          <w:sz w:val="20"/>
          <w:szCs w:val="20"/>
          <w:color w:val="auto"/>
        </w:rPr>
      </w:pPr>
      <w:r>
        <w:rPr>
          <w:rFonts w:ascii="Arial" w:cs="Arial" w:eastAsia="Arial" w:hAnsi="Arial"/>
          <w:sz w:val="65"/>
          <w:szCs w:val="65"/>
          <w:color w:val="4BCD3E"/>
        </w:rPr>
        <w:t>Proposal 2:</w:t>
      </w:r>
    </w:p>
    <w:p>
      <w:pPr>
        <w:ind w:left="2180"/>
        <w:spacing w:after="0" w:line="208" w:lineRule="auto"/>
        <w:rPr>
          <w:sz w:val="20"/>
          <w:szCs w:val="20"/>
          <w:color w:val="auto"/>
        </w:rPr>
      </w:pPr>
      <w:r>
        <w:rPr>
          <w:rFonts w:ascii="Arial" w:cs="Arial" w:eastAsia="Arial" w:hAnsi="Arial"/>
          <w:sz w:val="65"/>
          <w:szCs w:val="65"/>
          <w:color w:val="4BCD3E"/>
        </w:rPr>
        <w:t>Advisory Vote on</w:t>
      </w:r>
    </w:p>
    <w:p>
      <w:pPr>
        <w:ind w:left="2180"/>
        <w:spacing w:after="0"/>
        <w:rPr>
          <w:sz w:val="20"/>
          <w:szCs w:val="20"/>
          <w:color w:val="auto"/>
        </w:rPr>
      </w:pPr>
      <w:r>
        <w:rPr>
          <w:rFonts w:ascii="Arial" w:cs="Arial" w:eastAsia="Arial" w:hAnsi="Arial"/>
          <w:sz w:val="64"/>
          <w:szCs w:val="64"/>
          <w:color w:val="4BCD3E"/>
        </w:rPr>
        <w:t>Executive Compensation</w:t>
      </w:r>
    </w:p>
    <w:p>
      <w:pPr>
        <w:spacing w:after="0" w:line="79" w:lineRule="exact"/>
        <w:rPr>
          <w:sz w:val="20"/>
          <w:szCs w:val="20"/>
          <w:color w:val="auto"/>
        </w:rPr>
      </w:pPr>
    </w:p>
    <w:p>
      <w:pPr>
        <w:ind w:left="2180" w:right="180"/>
        <w:spacing w:after="0" w:line="282" w:lineRule="auto"/>
        <w:rPr>
          <w:sz w:val="20"/>
          <w:szCs w:val="20"/>
          <w:color w:val="auto"/>
        </w:rPr>
      </w:pPr>
      <w:r>
        <w:rPr>
          <w:rFonts w:ascii="Arial" w:cs="Arial" w:eastAsia="Arial" w:hAnsi="Arial"/>
          <w:sz w:val="16"/>
          <w:szCs w:val="16"/>
          <w:color w:val="FFFFFF"/>
        </w:rPr>
        <w:t>We hold a non-binding advisory “say on pay” vote every year, pursuant to Section 14A of the Exchange Act. Our executive compensation practices and processes, overseen by the Compensation Committee of our Board, align our executives' compensation with our performance and promote long-term value creation. At our 2025 shareholders’ meeting, this proposal received support from 93.6% of the shares voted.</w:t>
      </w:r>
    </w:p>
    <w:p>
      <w:pPr>
        <w:spacing w:after="0" w:line="134" w:lineRule="exact"/>
        <w:rPr>
          <w:sz w:val="20"/>
          <w:szCs w:val="20"/>
          <w:color w:val="auto"/>
        </w:rPr>
      </w:pPr>
    </w:p>
    <w:p>
      <w:pPr>
        <w:ind w:left="2180"/>
        <w:spacing w:after="0"/>
        <w:rPr>
          <w:sz w:val="20"/>
          <w:szCs w:val="20"/>
          <w:color w:val="auto"/>
        </w:rPr>
      </w:pPr>
      <w:r>
        <w:rPr>
          <w:rFonts w:ascii="Arial" w:cs="Arial" w:eastAsia="Arial" w:hAnsi="Arial"/>
          <w:sz w:val="16"/>
          <w:szCs w:val="16"/>
          <w:color w:val="FFFFFF"/>
        </w:rPr>
        <w:t>We ask our shareholders to vote in favor of the following resolution at the annual meeting:</w:t>
      </w:r>
    </w:p>
    <w:p>
      <w:pPr>
        <w:spacing w:after="0" w:line="194" w:lineRule="exact"/>
        <w:rPr>
          <w:sz w:val="20"/>
          <w:szCs w:val="20"/>
          <w:color w:val="auto"/>
        </w:rPr>
      </w:pPr>
    </w:p>
    <w:p>
      <w:pPr>
        <w:ind w:left="2180" w:right="40"/>
        <w:spacing w:after="0" w:line="282" w:lineRule="auto"/>
        <w:rPr>
          <w:sz w:val="20"/>
          <w:szCs w:val="20"/>
          <w:color w:val="auto"/>
        </w:rPr>
      </w:pPr>
      <w:r>
        <w:rPr>
          <w:rFonts w:ascii="Arial" w:cs="Arial" w:eastAsia="Arial" w:hAnsi="Arial"/>
          <w:sz w:val="16"/>
          <w:szCs w:val="16"/>
          <w:color w:val="FFFFFF"/>
        </w:rPr>
        <w:t>“RESOLVED, that the Company’s shareholders approve, on an advisory basis, the compensation of the named executive officers, as disclosed in the Company’s Proxy Statement for the 2026 Annual Meeting of Shareholders pursuant to the compensation disclosure rules of the SEC, including the Compensation Discussion and Analysis section, the 2025 Summary Compensation Table and the other related tables and disclosures.”</w:t>
      </w:r>
    </w:p>
    <w:p>
      <w:pPr>
        <w:spacing w:after="0" w:line="350" w:lineRule="exact"/>
        <w:rPr>
          <w:sz w:val="20"/>
          <w:szCs w:val="20"/>
          <w:color w:val="auto"/>
        </w:rPr>
      </w:pPr>
    </w:p>
    <w:p>
      <w:pPr>
        <w:ind w:left="2980" w:right="540"/>
        <w:spacing w:after="0" w:line="266" w:lineRule="auto"/>
        <w:rPr>
          <w:sz w:val="20"/>
          <w:szCs w:val="20"/>
          <w:color w:val="auto"/>
        </w:rPr>
      </w:pPr>
      <w:r>
        <w:rPr>
          <w:rFonts w:ascii="Arial" w:cs="Arial" w:eastAsia="Arial" w:hAnsi="Arial"/>
          <w:sz w:val="16"/>
          <w:szCs w:val="16"/>
          <w:color w:val="231F20"/>
        </w:rPr>
        <w:t xml:space="preserve">The Board recommends that the shareholders vote </w:t>
      </w:r>
      <w:r>
        <w:rPr>
          <w:rFonts w:ascii="Arial" w:cs="Arial" w:eastAsia="Arial" w:hAnsi="Arial"/>
          <w:sz w:val="16"/>
          <w:szCs w:val="16"/>
          <w:b w:val="1"/>
          <w:bCs w:val="1"/>
          <w:color w:val="231F20"/>
        </w:rPr>
        <w:t>“FOR”</w:t>
      </w:r>
      <w:r>
        <w:rPr>
          <w:rFonts w:ascii="Arial" w:cs="Arial" w:eastAsia="Arial" w:hAnsi="Arial"/>
          <w:sz w:val="16"/>
          <w:szCs w:val="16"/>
          <w:color w:val="231F20"/>
        </w:rPr>
        <w:t xml:space="preserve"> the approval, on an advisory basis, of the compensation of our named executive officers, as disclosed in this proxy statement.</w:t>
      </w:r>
    </w:p>
    <w:p>
      <w:pPr>
        <w:sectPr>
          <w:pgSz w:w="11900" w:h="16838" w:orient="portrait"/>
          <w:cols w:equalWidth="0" w:num="1">
            <w:col w:w="9360"/>
          </w:cols>
          <w:pgMar w:left="144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45</w:t>
      </w:r>
    </w:p>
    <w:p>
      <w:pPr>
        <w:sectPr>
          <w:pgSz w:w="11900" w:h="16838" w:orient="portrait"/>
          <w:cols w:equalWidth="0" w:num="1">
            <w:col w:w="9360"/>
          </w:cols>
          <w:pgMar w:left="1440" w:top="1440" w:right="1099" w:bottom="1440" w:gutter="0" w:footer="0" w:header="0"/>
          <w:type w:val="continuous"/>
        </w:sectPr>
      </w:pPr>
    </w:p>
    <w:bookmarkStart w:id="48" w:name="page49"/>
    <w:bookmarkEnd w:id="48"/>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2: Advisory Vote on Executive Compensation</w:t>
      </w:r>
    </w:p>
    <w:p>
      <w:pPr>
        <w:spacing w:after="0" w:line="200" w:lineRule="exact"/>
        <w:rPr>
          <w:sz w:val="20"/>
          <w:szCs w:val="20"/>
          <w:color w:val="auto"/>
        </w:rPr>
      </w:pPr>
    </w:p>
    <w:p>
      <w:pPr>
        <w:spacing w:after="0" w:line="215" w:lineRule="exact"/>
        <w:rPr>
          <w:sz w:val="20"/>
          <w:szCs w:val="20"/>
          <w:color w:val="auto"/>
        </w:rPr>
      </w:pPr>
    </w:p>
    <w:p>
      <w:pPr>
        <w:ind w:left="140" w:right="139"/>
        <w:spacing w:after="0" w:line="292" w:lineRule="auto"/>
        <w:rPr>
          <w:sz w:val="20"/>
          <w:szCs w:val="20"/>
          <w:color w:val="auto"/>
        </w:rPr>
      </w:pPr>
      <w:r>
        <w:rPr>
          <w:rFonts w:ascii="Arial" w:cs="Arial" w:eastAsia="Arial" w:hAnsi="Arial"/>
          <w:sz w:val="16"/>
          <w:szCs w:val="16"/>
          <w:color w:val="auto"/>
        </w:rPr>
        <w:t>As part of our commitment to continuous governance improvement, we seek input from our shareholders and proxy advisory firms regarding our executive compensation program, governance practices and sustainability program. See “Our 2026 Shareholder Engagement Program” on page 35 for an overview of our recent shareholder engagement program.</w:t>
      </w:r>
    </w:p>
    <w:p>
      <w:pPr>
        <w:spacing w:after="0" w:line="125" w:lineRule="exact"/>
        <w:rPr>
          <w:sz w:val="20"/>
          <w:szCs w:val="20"/>
          <w:color w:val="auto"/>
        </w:rPr>
      </w:pPr>
    </w:p>
    <w:p>
      <w:pPr>
        <w:ind w:left="140" w:right="159"/>
        <w:spacing w:after="0" w:line="278" w:lineRule="auto"/>
        <w:rPr>
          <w:sz w:val="20"/>
          <w:szCs w:val="20"/>
          <w:color w:val="auto"/>
        </w:rPr>
      </w:pPr>
      <w:r>
        <w:rPr>
          <w:rFonts w:ascii="Arial" w:cs="Arial" w:eastAsia="Arial" w:hAnsi="Arial"/>
          <w:sz w:val="16"/>
          <w:szCs w:val="16"/>
          <w:color w:val="auto"/>
        </w:rPr>
        <w:t>Our approach to executive compensation is intended to provide a strong link between pay and Company performance, establish and follow a sound design of our executive compensation program, and promote strong executive compensation practices and governance. As discussed in the “Compensation Discussion and Analysis” section of this proxy statement, the Board and the Compensation Committee believe that our executive compensation program provides our named executive officers with a balanced compensation package that includes an appropriate base salary along with competitive annual and long-term incentive compensation opportunities. A majority of our executive compensation is comprised of performance-based incentive programs that are designed to reward our named executive officers on both an annual and long-term basis only if they attain certain specified goals that are intended to promote sustainable long-term shareholder value creation. The Compensation Committee engaged an independent compensation consultant, Meridian Compensation Partners, LLC (“Meridian”), to review, among other things, the competitive market and best practices.</w:t>
      </w:r>
    </w:p>
    <w:p>
      <w:pPr>
        <w:spacing w:after="0" w:line="137" w:lineRule="exact"/>
        <w:rPr>
          <w:sz w:val="20"/>
          <w:szCs w:val="20"/>
          <w:color w:val="auto"/>
        </w:rPr>
      </w:pPr>
    </w:p>
    <w:p>
      <w:pPr>
        <w:ind w:left="140" w:right="539"/>
        <w:spacing w:after="0" w:line="292" w:lineRule="auto"/>
        <w:rPr>
          <w:sz w:val="20"/>
          <w:szCs w:val="20"/>
          <w:color w:val="auto"/>
        </w:rPr>
      </w:pPr>
      <w:r>
        <w:rPr>
          <w:rFonts w:ascii="Arial" w:cs="Arial" w:eastAsia="Arial" w:hAnsi="Arial"/>
          <w:sz w:val="16"/>
          <w:szCs w:val="16"/>
          <w:color w:val="auto"/>
        </w:rPr>
        <w:t>We believe that our current executive compensation program directly links the compensation of our named executive officers to our financial performance and aligns the interests of our named executive officers with those of our shareholders. See “2025 Total Compensation” on page 58.</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Certain Information About Our Executive Officers</w:t>
      </w:r>
    </w:p>
    <w:p>
      <w:pPr>
        <w:spacing w:after="0" w:line="94" w:lineRule="exact"/>
        <w:rPr>
          <w:sz w:val="20"/>
          <w:szCs w:val="20"/>
          <w:color w:val="auto"/>
        </w:rPr>
      </w:pPr>
    </w:p>
    <w:p>
      <w:pPr>
        <w:jc w:val="both"/>
        <w:ind w:left="140" w:right="539"/>
        <w:spacing w:after="0" w:line="301" w:lineRule="auto"/>
        <w:rPr>
          <w:sz w:val="20"/>
          <w:szCs w:val="20"/>
          <w:color w:val="auto"/>
        </w:rPr>
      </w:pPr>
      <w:r>
        <w:rPr>
          <w:rFonts w:ascii="Arial" w:cs="Arial" w:eastAsia="Arial" w:hAnsi="Arial"/>
          <w:sz w:val="16"/>
          <w:szCs w:val="16"/>
          <w:color w:val="auto"/>
        </w:rPr>
        <w:t>The executive officers of the Company, as of the date of this proxy statement, are set forth in the table below. Certain biographical information with respect to those executive officers who do not also serve as directors follows the table. There are no family relationships among the executive officers, directors or nominees for director.</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4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6240" w:type="dxa"/>
            <w:vAlign w:val="bottom"/>
            <w:tcBorders>
              <w:bottom w:val="single" w:sz="8" w:color="431C5B"/>
            </w:tcBorders>
          </w:tcPr>
          <w:p>
            <w:pPr>
              <w:ind w:left="300"/>
              <w:spacing w:after="0"/>
              <w:rPr>
                <w:sz w:val="20"/>
                <w:szCs w:val="20"/>
                <w:color w:val="auto"/>
              </w:rPr>
            </w:pPr>
            <w:r>
              <w:rPr>
                <w:rFonts w:ascii="Arial" w:cs="Arial" w:eastAsia="Arial" w:hAnsi="Arial"/>
                <w:sz w:val="14"/>
                <w:szCs w:val="14"/>
                <w:b w:val="1"/>
                <w:bCs w:val="1"/>
                <w:color w:val="431C5B"/>
              </w:rPr>
              <w:t>Position with FIS</w:t>
            </w:r>
          </w:p>
        </w:tc>
        <w:tc>
          <w:tcPr>
            <w:tcW w:w="68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Age*</w:t>
            </w:r>
          </w:p>
        </w:tc>
      </w:tr>
      <w:tr>
        <w:trPr>
          <w:trHeight w:val="210"/>
        </w:trPr>
        <w:tc>
          <w:tcPr>
            <w:tcW w:w="1840" w:type="dxa"/>
            <w:vAlign w:val="bottom"/>
            <w:tcBorders>
              <w:bottom w:val="single" w:sz="8" w:color="E6E6E6"/>
            </w:tcBorders>
            <w:shd w:val="clear" w:color="auto" w:fill="EDFAEC"/>
          </w:tcPr>
          <w:p>
            <w:pPr>
              <w:ind w:left="80"/>
              <w:spacing w:after="0"/>
              <w:rPr>
                <w:sz w:val="20"/>
                <w:szCs w:val="20"/>
                <w:color w:val="auto"/>
              </w:rPr>
            </w:pPr>
            <w:r>
              <w:rPr>
                <w:rFonts w:ascii="Arial" w:cs="Arial" w:eastAsia="Arial" w:hAnsi="Arial"/>
                <w:sz w:val="16"/>
                <w:szCs w:val="16"/>
                <w:b w:val="1"/>
                <w:bCs w:val="1"/>
                <w:color w:val="431C5B"/>
              </w:rPr>
              <w:t>Stephanie L. Ferris</w:t>
            </w:r>
          </w:p>
        </w:tc>
        <w:tc>
          <w:tcPr>
            <w:tcW w:w="6240" w:type="dxa"/>
            <w:vAlign w:val="bottom"/>
            <w:tcBorders>
              <w:bottom w:val="single" w:sz="8" w:color="E6E6E6"/>
            </w:tcBorders>
            <w:shd w:val="clear" w:color="auto" w:fill="EDFAEC"/>
          </w:tcPr>
          <w:p>
            <w:pPr>
              <w:ind w:left="300"/>
              <w:spacing w:after="0"/>
              <w:rPr>
                <w:sz w:val="20"/>
                <w:szCs w:val="20"/>
                <w:color w:val="auto"/>
              </w:rPr>
            </w:pPr>
            <w:r>
              <w:rPr>
                <w:rFonts w:ascii="Arial" w:cs="Arial" w:eastAsia="Arial" w:hAnsi="Arial"/>
                <w:sz w:val="16"/>
                <w:szCs w:val="16"/>
                <w:color w:val="auto"/>
              </w:rPr>
              <w:t>Chief Executive Officer and President</w:t>
            </w:r>
          </w:p>
        </w:tc>
        <w:tc>
          <w:tcPr>
            <w:tcW w:w="680" w:type="dxa"/>
            <w:vAlign w:val="bottom"/>
            <w:tcBorders>
              <w:bottom w:val="single" w:sz="8" w:color="E6E6E6"/>
            </w:tcBorders>
            <w:shd w:val="clear" w:color="auto" w:fill="EDFAEC"/>
          </w:tcPr>
          <w:p>
            <w:pPr>
              <w:jc w:val="center"/>
              <w:spacing w:after="0"/>
              <w:rPr>
                <w:sz w:val="20"/>
                <w:szCs w:val="20"/>
                <w:color w:val="auto"/>
              </w:rPr>
            </w:pPr>
            <w:r>
              <w:rPr>
                <w:rFonts w:ascii="Arial" w:cs="Arial" w:eastAsia="Arial" w:hAnsi="Arial"/>
                <w:sz w:val="16"/>
                <w:szCs w:val="16"/>
                <w:color w:val="auto"/>
              </w:rPr>
              <w:t>52</w:t>
            </w:r>
          </w:p>
        </w:tc>
      </w:tr>
      <w:tr>
        <w:trPr>
          <w:trHeight w:val="210"/>
        </w:trPr>
        <w:tc>
          <w:tcPr>
            <w:tcW w:w="184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James Kehoe</w:t>
            </w:r>
          </w:p>
        </w:tc>
        <w:tc>
          <w:tcPr>
            <w:tcW w:w="6240" w:type="dxa"/>
            <w:vAlign w:val="bottom"/>
            <w:tcBorders>
              <w:bottom w:val="single" w:sz="8" w:color="E6E6E6"/>
            </w:tcBorders>
          </w:tcPr>
          <w:p>
            <w:pPr>
              <w:ind w:left="300"/>
              <w:spacing w:after="0"/>
              <w:rPr>
                <w:sz w:val="20"/>
                <w:szCs w:val="20"/>
                <w:color w:val="auto"/>
              </w:rPr>
            </w:pPr>
            <w:r>
              <w:rPr>
                <w:rFonts w:ascii="Arial" w:cs="Arial" w:eastAsia="Arial" w:hAnsi="Arial"/>
                <w:sz w:val="16"/>
                <w:szCs w:val="16"/>
                <w:color w:val="auto"/>
              </w:rPr>
              <w:t>Corporate Executive Vice President, Chief Financial Officer</w:t>
            </w:r>
          </w:p>
        </w:tc>
        <w:tc>
          <w:tcPr>
            <w:tcW w:w="680" w:type="dxa"/>
            <w:vAlign w:val="bottom"/>
            <w:tcBorders>
              <w:bottom w:val="single" w:sz="8" w:color="E6E6E6"/>
            </w:tcBorders>
          </w:tcPr>
          <w:p>
            <w:pPr>
              <w:jc w:val="center"/>
              <w:spacing w:after="0"/>
              <w:rPr>
                <w:sz w:val="20"/>
                <w:szCs w:val="20"/>
                <w:color w:val="auto"/>
              </w:rPr>
            </w:pPr>
            <w:r>
              <w:rPr>
                <w:rFonts w:ascii="Arial" w:cs="Arial" w:eastAsia="Arial" w:hAnsi="Arial"/>
                <w:sz w:val="16"/>
                <w:szCs w:val="16"/>
                <w:color w:val="auto"/>
              </w:rPr>
              <w:t>63</w:t>
            </w:r>
          </w:p>
        </w:tc>
      </w:tr>
      <w:tr>
        <w:trPr>
          <w:trHeight w:val="210"/>
        </w:trPr>
        <w:tc>
          <w:tcPr>
            <w:tcW w:w="1840" w:type="dxa"/>
            <w:vAlign w:val="bottom"/>
            <w:tcBorders>
              <w:bottom w:val="single" w:sz="8" w:color="E6E6E6"/>
            </w:tcBorders>
            <w:shd w:val="clear" w:color="auto" w:fill="EDFAEC"/>
          </w:tcPr>
          <w:p>
            <w:pPr>
              <w:ind w:left="80"/>
              <w:spacing w:after="0"/>
              <w:rPr>
                <w:sz w:val="20"/>
                <w:szCs w:val="20"/>
                <w:color w:val="auto"/>
              </w:rPr>
            </w:pPr>
            <w:r>
              <w:rPr>
                <w:rFonts w:ascii="Arial" w:cs="Arial" w:eastAsia="Arial" w:hAnsi="Arial"/>
                <w:sz w:val="16"/>
                <w:szCs w:val="16"/>
                <w:b w:val="1"/>
                <w:bCs w:val="1"/>
                <w:color w:val="431C5B"/>
              </w:rPr>
              <w:t>Alexandra Brooks</w:t>
            </w:r>
          </w:p>
        </w:tc>
        <w:tc>
          <w:tcPr>
            <w:tcW w:w="6240" w:type="dxa"/>
            <w:vAlign w:val="bottom"/>
            <w:tcBorders>
              <w:bottom w:val="single" w:sz="8" w:color="E6E6E6"/>
            </w:tcBorders>
            <w:shd w:val="clear" w:color="auto" w:fill="EDFAEC"/>
          </w:tcPr>
          <w:p>
            <w:pPr>
              <w:ind w:left="300"/>
              <w:spacing w:after="0"/>
              <w:rPr>
                <w:sz w:val="20"/>
                <w:szCs w:val="20"/>
                <w:color w:val="auto"/>
              </w:rPr>
            </w:pPr>
            <w:r>
              <w:rPr>
                <w:rFonts w:ascii="Arial" w:cs="Arial" w:eastAsia="Arial" w:hAnsi="Arial"/>
                <w:sz w:val="16"/>
                <w:szCs w:val="16"/>
                <w:color w:val="auto"/>
              </w:rPr>
              <w:t>Executive Vice President, Chief Accounting Officer</w:t>
            </w:r>
          </w:p>
        </w:tc>
        <w:tc>
          <w:tcPr>
            <w:tcW w:w="680" w:type="dxa"/>
            <w:vAlign w:val="bottom"/>
            <w:tcBorders>
              <w:bottom w:val="single" w:sz="8" w:color="E6E6E6"/>
            </w:tcBorders>
            <w:shd w:val="clear" w:color="auto" w:fill="EDFAEC"/>
          </w:tcPr>
          <w:p>
            <w:pPr>
              <w:jc w:val="center"/>
              <w:spacing w:after="0"/>
              <w:rPr>
                <w:sz w:val="20"/>
                <w:szCs w:val="20"/>
                <w:color w:val="auto"/>
              </w:rPr>
            </w:pPr>
            <w:r>
              <w:rPr>
                <w:rFonts w:ascii="Arial" w:cs="Arial" w:eastAsia="Arial" w:hAnsi="Arial"/>
                <w:sz w:val="16"/>
                <w:szCs w:val="16"/>
                <w:color w:val="auto"/>
              </w:rPr>
              <w:t>55</w:t>
            </w:r>
          </w:p>
        </w:tc>
      </w:tr>
      <w:tr>
        <w:trPr>
          <w:trHeight w:val="209"/>
        </w:trPr>
        <w:tc>
          <w:tcPr>
            <w:tcW w:w="184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Robert Toohey</w:t>
            </w:r>
          </w:p>
        </w:tc>
        <w:tc>
          <w:tcPr>
            <w:tcW w:w="6240" w:type="dxa"/>
            <w:vAlign w:val="bottom"/>
            <w:tcBorders>
              <w:bottom w:val="single" w:sz="8" w:color="E6E6E6"/>
            </w:tcBorders>
          </w:tcPr>
          <w:p>
            <w:pPr>
              <w:ind w:left="300"/>
              <w:spacing w:after="0"/>
              <w:rPr>
                <w:sz w:val="20"/>
                <w:szCs w:val="20"/>
                <w:color w:val="auto"/>
              </w:rPr>
            </w:pPr>
            <w:r>
              <w:rPr>
                <w:rFonts w:ascii="Arial" w:cs="Arial" w:eastAsia="Arial" w:hAnsi="Arial"/>
                <w:sz w:val="16"/>
                <w:szCs w:val="16"/>
                <w:color w:val="auto"/>
              </w:rPr>
              <w:t>Corporate Executive Vice President, Chief People Officer</w:t>
            </w:r>
          </w:p>
        </w:tc>
        <w:tc>
          <w:tcPr>
            <w:tcW w:w="680" w:type="dxa"/>
            <w:vAlign w:val="bottom"/>
            <w:tcBorders>
              <w:bottom w:val="single" w:sz="8" w:color="E6E6E6"/>
            </w:tcBorders>
          </w:tcPr>
          <w:p>
            <w:pPr>
              <w:jc w:val="center"/>
              <w:spacing w:after="0"/>
              <w:rPr>
                <w:sz w:val="20"/>
                <w:szCs w:val="20"/>
                <w:color w:val="auto"/>
              </w:rPr>
            </w:pPr>
            <w:r>
              <w:rPr>
                <w:rFonts w:ascii="Arial" w:cs="Arial" w:eastAsia="Arial" w:hAnsi="Arial"/>
                <w:sz w:val="16"/>
                <w:szCs w:val="16"/>
                <w:color w:val="auto"/>
              </w:rPr>
              <w:t>58</w:t>
            </w:r>
          </w:p>
        </w:tc>
      </w:tr>
      <w:tr>
        <w:trPr>
          <w:trHeight w:val="195"/>
        </w:trPr>
        <w:tc>
          <w:tcPr>
            <w:tcW w:w="1840" w:type="dxa"/>
            <w:vAlign w:val="bottom"/>
            <w:shd w:val="clear" w:color="auto" w:fill="EDFAEC"/>
          </w:tcPr>
          <w:p>
            <w:pPr>
              <w:ind w:left="80"/>
              <w:spacing w:after="0"/>
              <w:rPr>
                <w:sz w:val="20"/>
                <w:szCs w:val="20"/>
                <w:color w:val="auto"/>
              </w:rPr>
            </w:pPr>
            <w:r>
              <w:rPr>
                <w:rFonts w:ascii="Arial" w:cs="Arial" w:eastAsia="Arial" w:hAnsi="Arial"/>
                <w:sz w:val="16"/>
                <w:szCs w:val="16"/>
                <w:b w:val="1"/>
                <w:bCs w:val="1"/>
                <w:color w:val="431C5B"/>
              </w:rPr>
              <w:t>Caroline Tsai</w:t>
            </w:r>
          </w:p>
        </w:tc>
        <w:tc>
          <w:tcPr>
            <w:tcW w:w="6240" w:type="dxa"/>
            <w:vAlign w:val="bottom"/>
            <w:shd w:val="clear" w:color="auto" w:fill="EDFAEC"/>
          </w:tcPr>
          <w:p>
            <w:pPr>
              <w:ind w:left="300"/>
              <w:spacing w:after="0"/>
              <w:rPr>
                <w:sz w:val="20"/>
                <w:szCs w:val="20"/>
                <w:color w:val="auto"/>
              </w:rPr>
            </w:pPr>
            <w:r>
              <w:rPr>
                <w:rFonts w:ascii="Arial" w:cs="Arial" w:eastAsia="Arial" w:hAnsi="Arial"/>
                <w:sz w:val="16"/>
                <w:szCs w:val="16"/>
                <w:color w:val="auto"/>
              </w:rPr>
              <w:t>Corporate Executive Vice President, Chief Legal &amp; Corporate Affairs Officer, and</w:t>
            </w:r>
          </w:p>
        </w:tc>
        <w:tc>
          <w:tcPr>
            <w:tcW w:w="680" w:type="dxa"/>
            <w:vAlign w:val="bottom"/>
            <w:shd w:val="clear" w:color="auto" w:fill="EDFAEC"/>
          </w:tcPr>
          <w:p>
            <w:pPr>
              <w:jc w:val="center"/>
              <w:spacing w:after="0"/>
              <w:rPr>
                <w:sz w:val="20"/>
                <w:szCs w:val="20"/>
                <w:color w:val="auto"/>
              </w:rPr>
            </w:pPr>
            <w:r>
              <w:rPr>
                <w:rFonts w:ascii="Arial" w:cs="Arial" w:eastAsia="Arial" w:hAnsi="Arial"/>
                <w:sz w:val="16"/>
                <w:szCs w:val="16"/>
                <w:color w:val="auto"/>
              </w:rPr>
              <w:t>56</w:t>
            </w:r>
          </w:p>
        </w:tc>
      </w:tr>
      <w:tr>
        <w:trPr>
          <w:trHeight w:val="216"/>
        </w:trPr>
        <w:tc>
          <w:tcPr>
            <w:tcW w:w="1840" w:type="dxa"/>
            <w:vAlign w:val="bottom"/>
            <w:tcBorders>
              <w:bottom w:val="single" w:sz="8" w:color="431C5B"/>
            </w:tcBorders>
            <w:shd w:val="clear" w:color="auto" w:fill="EDFAEC"/>
          </w:tcPr>
          <w:p>
            <w:pPr>
              <w:spacing w:after="0"/>
              <w:rPr>
                <w:sz w:val="18"/>
                <w:szCs w:val="18"/>
                <w:color w:val="auto"/>
              </w:rPr>
            </w:pPr>
          </w:p>
        </w:tc>
        <w:tc>
          <w:tcPr>
            <w:tcW w:w="6240" w:type="dxa"/>
            <w:vAlign w:val="bottom"/>
            <w:tcBorders>
              <w:bottom w:val="single" w:sz="8" w:color="431C5B"/>
            </w:tcBorders>
            <w:shd w:val="clear" w:color="auto" w:fill="EDFAEC"/>
          </w:tcPr>
          <w:p>
            <w:pPr>
              <w:ind w:left="300"/>
              <w:spacing w:after="0"/>
              <w:rPr>
                <w:sz w:val="20"/>
                <w:szCs w:val="20"/>
                <w:color w:val="auto"/>
              </w:rPr>
            </w:pPr>
            <w:r>
              <w:rPr>
                <w:rFonts w:ascii="Arial" w:cs="Arial" w:eastAsia="Arial" w:hAnsi="Arial"/>
                <w:sz w:val="16"/>
                <w:szCs w:val="16"/>
                <w:color w:val="auto"/>
              </w:rPr>
              <w:t>Corporate Secretary</w:t>
            </w:r>
          </w:p>
        </w:tc>
        <w:tc>
          <w:tcPr>
            <w:tcW w:w="680" w:type="dxa"/>
            <w:vAlign w:val="bottom"/>
            <w:tcBorders>
              <w:bottom w:val="single" w:sz="8" w:color="431C5B"/>
            </w:tcBorders>
            <w:shd w:val="clear" w:color="auto" w:fill="EDFAEC"/>
          </w:tcPr>
          <w:p>
            <w:pPr>
              <w:spacing w:after="0"/>
              <w:rPr>
                <w:sz w:val="18"/>
                <w:szCs w:val="18"/>
                <w:color w:val="auto"/>
              </w:rPr>
            </w:pPr>
          </w:p>
        </w:tc>
      </w:tr>
    </w:tbl>
    <w:p>
      <w:pPr>
        <w:spacing w:after="0" w:line="158" w:lineRule="exact"/>
        <w:rPr>
          <w:sz w:val="20"/>
          <w:szCs w:val="20"/>
          <w:color w:val="auto"/>
        </w:rPr>
      </w:pPr>
    </w:p>
    <w:p>
      <w:pPr>
        <w:ind w:left="380" w:hanging="250"/>
        <w:spacing w:after="0"/>
        <w:tabs>
          <w:tab w:leader="none" w:pos="3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as of April 13, 2026</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James Kehoe</w:t>
      </w:r>
    </w:p>
    <w:p>
      <w:pPr>
        <w:spacing w:after="0" w:line="87" w:lineRule="exact"/>
        <w:rPr>
          <w:sz w:val="20"/>
          <w:szCs w:val="20"/>
          <w:color w:val="auto"/>
        </w:rPr>
      </w:pPr>
    </w:p>
    <w:p>
      <w:pPr>
        <w:ind w:left="140" w:right="279"/>
        <w:spacing w:after="0" w:line="282" w:lineRule="auto"/>
        <w:rPr>
          <w:sz w:val="20"/>
          <w:szCs w:val="20"/>
          <w:color w:val="auto"/>
        </w:rPr>
      </w:pPr>
      <w:r>
        <w:rPr>
          <w:rFonts w:ascii="Arial" w:cs="Arial" w:eastAsia="Arial" w:hAnsi="Arial"/>
          <w:sz w:val="16"/>
          <w:szCs w:val="16"/>
          <w:color w:val="auto"/>
        </w:rPr>
        <w:t>has served as Corporate Executive Vice President and Chief Financial Officer (“CFO”) since August 21, 2023. Prior to joining FIS, Mr. Kehoe served as Executive Vice President and Global CFO for Walgreens Boots Alliance, Inc. from June 2018 to August 2023. Prior to this position, Mr. Kehoe served as CFO at Takeda Pharmaceutical Company Limited (“Takeda”) from June 2016 to June 2018, where he also served as a member of the board from June 2017 to June 2018. For over 25 years prior to joining Takeda, Mr. Kehoe served Kraft Foods in a number of finance-related positions with assignments based in Ireland, Germany, Italy, the U.S., Austria, Switzerland and Canada, including his last role as Executive Vice President and CFO of Kraft Foods Group, Inc.</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Alexandra Brooks</w:t>
      </w:r>
    </w:p>
    <w:p>
      <w:pPr>
        <w:spacing w:after="0" w:line="87" w:lineRule="exact"/>
        <w:rPr>
          <w:sz w:val="20"/>
          <w:szCs w:val="20"/>
          <w:color w:val="auto"/>
        </w:rPr>
      </w:pPr>
    </w:p>
    <w:p>
      <w:pPr>
        <w:ind w:left="140" w:right="179"/>
        <w:spacing w:after="0" w:line="280" w:lineRule="auto"/>
        <w:rPr>
          <w:sz w:val="20"/>
          <w:szCs w:val="20"/>
          <w:color w:val="auto"/>
        </w:rPr>
      </w:pPr>
      <w:r>
        <w:rPr>
          <w:rFonts w:ascii="Arial" w:cs="Arial" w:eastAsia="Arial" w:hAnsi="Arial"/>
          <w:sz w:val="16"/>
          <w:szCs w:val="16"/>
          <w:color w:val="auto"/>
        </w:rPr>
        <w:t>has served as Executive Vice President and Chief Accounting Officer of FIS since November 2024. Prior to that, Ms. Brooks served as Executive Vice President, Finance from October 2024 to November 2024. Prior to joining FIS, Ms. Brooks served as Executive Vice President and Chief Financial Officer of Hertz Global Holdings, Inc. ("Hertz"), from July 2023 through June 2024. She previously served as Hertz's Senior Vice President, Chief Accounting Officer from November 2020 to July 2023 and Senior Vice President, Internal Audit from June 2020 to November 2020. Prior to joining Hertz, Ms. Brooks was the Vice President, Internal Audit at Aptiv PLC ("Aptiv"), from May 2015 to March 2020. Before joining Aptiv, Ms. Brooks served in a variety of leadership, accounting and finance roles at Champion Windows and Home Exteriors, the General Electric Company and the General Motors Company. She began her career with PricewaterhouseCoopers, a professional services firm, and is a Certified Public Accountant.</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hanging="429"/>
        <w:spacing w:after="0"/>
        <w:tabs>
          <w:tab w:leader="none" w:pos="620" w:val="left"/>
        </w:tabs>
        <w:numPr>
          <w:ilvl w:val="0"/>
          <w:numId w:val="64"/>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49" w:name="page50"/>
    <w:bookmarkEnd w:id="49"/>
    <w:p>
      <w:pPr>
        <w:jc w:val="right"/>
        <w:ind w:right="15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2: Advisory Vote on Executive Compensation</w:t>
      </w:r>
    </w:p>
    <w:p>
      <w:pPr>
        <w:spacing w:after="0" w:line="391"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Robert Toohey</w:t>
      </w:r>
    </w:p>
    <w:p>
      <w:pPr>
        <w:spacing w:after="0" w:line="87" w:lineRule="exact"/>
        <w:rPr>
          <w:sz w:val="20"/>
          <w:szCs w:val="20"/>
          <w:color w:val="auto"/>
        </w:rPr>
      </w:pPr>
    </w:p>
    <w:p>
      <w:pPr>
        <w:ind w:left="140" w:right="199"/>
        <w:spacing w:after="0" w:line="280" w:lineRule="auto"/>
        <w:rPr>
          <w:sz w:val="20"/>
          <w:szCs w:val="20"/>
          <w:color w:val="auto"/>
        </w:rPr>
      </w:pPr>
      <w:r>
        <w:rPr>
          <w:rFonts w:ascii="Arial" w:cs="Arial" w:eastAsia="Arial" w:hAnsi="Arial"/>
          <w:sz w:val="16"/>
          <w:szCs w:val="16"/>
          <w:color w:val="auto"/>
        </w:rPr>
        <w:t>has served as Corporate Executive Vice President, Chief People Officer of FIS since January 2025. Prior to that, Mr. Toohey served as incoming Chief People Officer from September 2024 through December 2024. Prior to joining FIS, Mr. Toohey served as Chief Human Resources Officer of Allstate Insurance Company, from March 2022 to September 2024. From August 2021 to March 2022, Mr. Toohey owned his own Talent and Operations Advisor firm working with several venture capital companies. Mr. Toohey served as President of Pymetrics from May 2019 to August 2021. Mr. Toohey has served in various operational and human resource roles including at Verizon, Verizon Media, and GTE Corporation over his 30 year career, demonstrating significant global experience and deep expertise in growing talent, business, and digital transformation, building startups, launching new business entities, restructuring organizations, and driving mergers and acquisitions and business integrations.</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Caroline Tsai</w:t>
      </w:r>
    </w:p>
    <w:p>
      <w:pPr>
        <w:spacing w:after="0" w:line="87" w:lineRule="exact"/>
        <w:rPr>
          <w:sz w:val="20"/>
          <w:szCs w:val="20"/>
          <w:color w:val="auto"/>
        </w:rPr>
      </w:pPr>
    </w:p>
    <w:p>
      <w:pPr>
        <w:ind w:left="140" w:right="159"/>
        <w:spacing w:after="0" w:line="278" w:lineRule="auto"/>
        <w:rPr>
          <w:sz w:val="20"/>
          <w:szCs w:val="20"/>
          <w:color w:val="auto"/>
        </w:rPr>
      </w:pPr>
      <w:r>
        <w:rPr>
          <w:rFonts w:ascii="Arial" w:cs="Arial" w:eastAsia="Arial" w:hAnsi="Arial"/>
          <w:sz w:val="16"/>
          <w:szCs w:val="16"/>
          <w:color w:val="auto"/>
        </w:rPr>
        <w:t>has served as Corporate Executive Vice President and Chief Legal &amp; Corporate Affairs Officer since May 2022, after serving as Corporate Executive Vice President and Chief Legal Officer since February 2022. Ms. Tsai has also served as our Corporate Secretary since October 2024. Prior to joining FIS, Ms. Tsai was the Chief Legal Officer and Corporate Secretary at The Western Union Company, a global money movement and payments company, from August 2019 to February 2022. Prior to this position, Ms. Tsai served as Executive Vice President, General Counsel and Secretary at Western Union from December 2017 to July 2019. Ms. Tsai served as Deputy General Counsel &amp; Chief Regulatory Officer at BMO Financial Group from December 2015 to November 2017 and Chief Legal Officer, U.S. Personal &amp; Commercial Banking at BMO Harris Bank from January 2014 to December 2015. Ms. Tsai served as Senior Vice President &amp; Associate General Counsel from January 2012 to December 2013 and Senior Vice President &amp; Assistant General Counsel from July 2005 to December 2011 at Bank of America Corporation. Ms. Tsai began her legal career as an associate with the law firm Jones Day.</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47</w:t>
      </w:r>
    </w:p>
    <w:p>
      <w:pPr>
        <w:sectPr>
          <w:pgSz w:w="11900" w:h="16838" w:orient="portrait"/>
          <w:cols w:equalWidth="0" w:num="1">
            <w:col w:w="9019"/>
          </w:cols>
          <w:pgMar w:left="1440" w:top="657" w:right="1440" w:bottom="1440" w:gutter="0" w:footer="0" w:header="0"/>
          <w:type w:val="continuous"/>
        </w:sectPr>
      </w:pPr>
    </w:p>
    <w:bookmarkStart w:id="50" w:name="page51"/>
    <w:bookmarkEnd w:id="50"/>
    <w:p>
      <w:pPr>
        <w:ind w:left="140" w:right="2639"/>
        <w:spacing w:after="0" w:line="287" w:lineRule="auto"/>
        <w:rPr>
          <w:sz w:val="20"/>
          <w:szCs w:val="20"/>
          <w:color w:val="auto"/>
        </w:rPr>
      </w:pPr>
      <w:r>
        <w:rPr>
          <w:rFonts w:ascii="Arial" w:cs="Arial" w:eastAsia="Arial" w:hAnsi="Arial"/>
          <w:sz w:val="54"/>
          <w:szCs w:val="54"/>
          <w:color w:val="FFFF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40" w:right="339"/>
        <w:spacing w:after="0" w:line="289" w:lineRule="auto"/>
        <w:rPr>
          <w:sz w:val="20"/>
          <w:szCs w:val="20"/>
          <w:color w:val="auto"/>
        </w:rPr>
      </w:pPr>
      <w:r>
        <w:rPr>
          <w:rFonts w:ascii="Arial" w:cs="Arial" w:eastAsia="Arial" w:hAnsi="Arial"/>
          <w:sz w:val="16"/>
          <w:szCs w:val="16"/>
          <w:color w:val="auto"/>
        </w:rPr>
        <w:t>The following Compensation Discussion and Analysis may contain statements regarding corporate performance targets and goals. These targets and goals are disclosed in the limited context of our compensation program and should not be understood to be statements of management’s expectations or estimates of results or other guidance. We specifically caution investors not to apply these statements to other contexts.</w:t>
      </w:r>
    </w:p>
    <w:p>
      <w:pPr>
        <w:spacing w:after="0" w:line="113" w:lineRule="exact"/>
        <w:rPr>
          <w:sz w:val="20"/>
          <w:szCs w:val="20"/>
          <w:color w:val="auto"/>
        </w:rPr>
      </w:pPr>
    </w:p>
    <w:p>
      <w:pPr>
        <w:ind w:left="140" w:right="439"/>
        <w:spacing w:after="0" w:line="301" w:lineRule="auto"/>
        <w:rPr>
          <w:sz w:val="20"/>
          <w:szCs w:val="20"/>
          <w:color w:val="auto"/>
        </w:rPr>
      </w:pPr>
      <w:r>
        <w:rPr>
          <w:rFonts w:ascii="Arial" w:cs="Arial" w:eastAsia="Arial" w:hAnsi="Arial"/>
          <w:sz w:val="16"/>
          <w:szCs w:val="16"/>
          <w:color w:val="auto"/>
        </w:rPr>
        <w:t>In this Compensation Discussion and Analysis, we provide an overview of our named executive officers’ 2025 compensation, including the objectives of our compensation program and the principles upon which our compensation program and decisions were based. In 2025, our named executive officers (“NEOs”)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720" w:type="dxa"/>
            <w:vAlign w:val="bottom"/>
          </w:tcPr>
          <w:p>
            <w:pPr>
              <w:jc w:val="center"/>
              <w:ind w:right="16"/>
              <w:spacing w:after="0"/>
              <w:rPr>
                <w:sz w:val="20"/>
                <w:szCs w:val="20"/>
                <w:color w:val="auto"/>
              </w:rPr>
            </w:pPr>
            <w:r>
              <w:rPr>
                <w:rFonts w:ascii="Arial" w:cs="Arial" w:eastAsia="Arial" w:hAnsi="Arial"/>
                <w:sz w:val="18"/>
                <w:szCs w:val="18"/>
                <w:b w:val="1"/>
                <w:bCs w:val="1"/>
                <w:color w:val="431C5B"/>
                <w:w w:val="99"/>
              </w:rPr>
              <w:t>Stephanie L. Ferris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431C5B"/>
                <w:w w:val="99"/>
              </w:rPr>
              <w:t>James Kehoe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431C5B"/>
                <w:w w:val="99"/>
              </w:rPr>
              <w:t>Firdaus Bhathena</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431C5B"/>
                <w:w w:val="97"/>
              </w:rPr>
              <w:t>Robert Toohey</w:t>
            </w:r>
          </w:p>
        </w:tc>
        <w:tc>
          <w:tcPr>
            <w:tcW w:w="1620" w:type="dxa"/>
            <w:vAlign w:val="bottom"/>
          </w:tcPr>
          <w:p>
            <w:pPr>
              <w:jc w:val="center"/>
              <w:ind w:left="18"/>
              <w:spacing w:after="0"/>
              <w:rPr>
                <w:sz w:val="20"/>
                <w:szCs w:val="20"/>
                <w:color w:val="auto"/>
              </w:rPr>
            </w:pPr>
            <w:r>
              <w:rPr>
                <w:rFonts w:ascii="Arial" w:cs="Arial" w:eastAsia="Arial" w:hAnsi="Arial"/>
                <w:sz w:val="18"/>
                <w:szCs w:val="18"/>
                <w:b w:val="1"/>
                <w:bCs w:val="1"/>
                <w:color w:val="431C5B"/>
                <w:w w:val="99"/>
              </w:rPr>
              <w:t>Caroline Tsai</w:t>
            </w:r>
          </w:p>
        </w:tc>
      </w:tr>
      <w:tr>
        <w:trPr>
          <w:trHeight w:val="206"/>
        </w:trPr>
        <w:tc>
          <w:tcPr>
            <w:tcW w:w="1720" w:type="dxa"/>
            <w:vAlign w:val="bottom"/>
          </w:tcPr>
          <w:p>
            <w:pPr>
              <w:jc w:val="center"/>
              <w:spacing w:after="0"/>
              <w:rPr>
                <w:sz w:val="20"/>
                <w:szCs w:val="20"/>
                <w:color w:val="auto"/>
              </w:rPr>
            </w:pPr>
            <w:r>
              <w:rPr>
                <w:rFonts w:ascii="Arial" w:cs="Arial" w:eastAsia="Arial" w:hAnsi="Arial"/>
                <w:sz w:val="16"/>
                <w:szCs w:val="16"/>
                <w:color w:val="431C5B"/>
              </w:rPr>
              <w:t>Chief Executive Officer</w:t>
            </w:r>
          </w:p>
        </w:tc>
        <w:tc>
          <w:tcPr>
            <w:tcW w:w="1680" w:type="dxa"/>
            <w:vAlign w:val="bottom"/>
          </w:tcPr>
          <w:p>
            <w:pPr>
              <w:jc w:val="center"/>
              <w:spacing w:after="0"/>
              <w:rPr>
                <w:sz w:val="20"/>
                <w:szCs w:val="20"/>
                <w:color w:val="auto"/>
              </w:rPr>
            </w:pPr>
            <w:r>
              <w:rPr>
                <w:rFonts w:ascii="Arial" w:cs="Arial" w:eastAsia="Arial" w:hAnsi="Arial"/>
                <w:sz w:val="16"/>
                <w:szCs w:val="16"/>
                <w:color w:val="431C5B"/>
              </w:rPr>
              <w:t>Corporate Executive</w:t>
            </w:r>
          </w:p>
        </w:tc>
        <w:tc>
          <w:tcPr>
            <w:tcW w:w="1760" w:type="dxa"/>
            <w:vAlign w:val="bottom"/>
          </w:tcPr>
          <w:p>
            <w:pPr>
              <w:jc w:val="center"/>
              <w:spacing w:after="0"/>
              <w:rPr>
                <w:sz w:val="20"/>
                <w:szCs w:val="20"/>
                <w:color w:val="auto"/>
              </w:rPr>
            </w:pPr>
            <w:r>
              <w:rPr>
                <w:rFonts w:ascii="Arial" w:cs="Arial" w:eastAsia="Arial" w:hAnsi="Arial"/>
                <w:sz w:val="16"/>
                <w:szCs w:val="16"/>
                <w:color w:val="431C5B"/>
              </w:rPr>
              <w:t>Former Chief Product</w:t>
            </w:r>
          </w:p>
        </w:tc>
        <w:tc>
          <w:tcPr>
            <w:tcW w:w="1740" w:type="dxa"/>
            <w:vAlign w:val="bottom"/>
          </w:tcPr>
          <w:p>
            <w:pPr>
              <w:jc w:val="center"/>
              <w:spacing w:after="0"/>
              <w:rPr>
                <w:sz w:val="20"/>
                <w:szCs w:val="20"/>
                <w:color w:val="auto"/>
              </w:rPr>
            </w:pPr>
            <w:r>
              <w:rPr>
                <w:rFonts w:ascii="Arial" w:cs="Arial" w:eastAsia="Arial" w:hAnsi="Arial"/>
                <w:sz w:val="16"/>
                <w:szCs w:val="16"/>
                <w:color w:val="431C5B"/>
              </w:rPr>
              <w:t>Corporate Executive</w:t>
            </w:r>
          </w:p>
        </w:tc>
        <w:tc>
          <w:tcPr>
            <w:tcW w:w="1620" w:type="dxa"/>
            <w:vAlign w:val="bottom"/>
          </w:tcPr>
          <w:p>
            <w:pPr>
              <w:jc w:val="center"/>
              <w:ind w:left="38"/>
              <w:spacing w:after="0"/>
              <w:rPr>
                <w:sz w:val="20"/>
                <w:szCs w:val="20"/>
                <w:color w:val="auto"/>
              </w:rPr>
            </w:pPr>
            <w:r>
              <w:rPr>
                <w:rFonts w:ascii="Arial" w:cs="Arial" w:eastAsia="Arial" w:hAnsi="Arial"/>
                <w:sz w:val="16"/>
                <w:szCs w:val="16"/>
                <w:color w:val="431C5B"/>
              </w:rPr>
              <w:t>Corporate Executive</w:t>
            </w:r>
          </w:p>
        </w:tc>
      </w:tr>
      <w:tr>
        <w:trPr>
          <w:trHeight w:val="213"/>
        </w:trPr>
        <w:tc>
          <w:tcPr>
            <w:tcW w:w="1720" w:type="dxa"/>
            <w:vAlign w:val="bottom"/>
          </w:tcPr>
          <w:p>
            <w:pPr>
              <w:jc w:val="center"/>
              <w:spacing w:after="0"/>
              <w:rPr>
                <w:sz w:val="20"/>
                <w:szCs w:val="20"/>
                <w:color w:val="auto"/>
              </w:rPr>
            </w:pPr>
            <w:r>
              <w:rPr>
                <w:rFonts w:ascii="Arial" w:cs="Arial" w:eastAsia="Arial" w:hAnsi="Arial"/>
                <w:sz w:val="16"/>
                <w:szCs w:val="16"/>
                <w:color w:val="431C5B"/>
              </w:rPr>
              <w:t>and President</w:t>
            </w:r>
          </w:p>
        </w:tc>
        <w:tc>
          <w:tcPr>
            <w:tcW w:w="1680" w:type="dxa"/>
            <w:vAlign w:val="bottom"/>
          </w:tcPr>
          <w:p>
            <w:pPr>
              <w:jc w:val="center"/>
              <w:spacing w:after="0"/>
              <w:rPr>
                <w:sz w:val="20"/>
                <w:szCs w:val="20"/>
                <w:color w:val="auto"/>
              </w:rPr>
            </w:pPr>
            <w:r>
              <w:rPr>
                <w:rFonts w:ascii="Arial" w:cs="Arial" w:eastAsia="Arial" w:hAnsi="Arial"/>
                <w:sz w:val="16"/>
                <w:szCs w:val="16"/>
                <w:color w:val="431C5B"/>
              </w:rPr>
              <w:t>Vice President, Chief</w:t>
            </w:r>
          </w:p>
        </w:tc>
        <w:tc>
          <w:tcPr>
            <w:tcW w:w="1760" w:type="dxa"/>
            <w:vAlign w:val="bottom"/>
          </w:tcPr>
          <w:p>
            <w:pPr>
              <w:jc w:val="center"/>
              <w:spacing w:after="0" w:line="213" w:lineRule="exact"/>
              <w:rPr>
                <w:sz w:val="20"/>
                <w:szCs w:val="20"/>
                <w:color w:val="auto"/>
              </w:rPr>
            </w:pPr>
            <w:r>
              <w:rPr>
                <w:rFonts w:ascii="Arial" w:cs="Arial" w:eastAsia="Arial" w:hAnsi="Arial"/>
                <w:sz w:val="16"/>
                <w:szCs w:val="16"/>
                <w:color w:val="431C5B"/>
                <w:w w:val="96"/>
              </w:rPr>
              <w:t>Technology Officer</w:t>
            </w:r>
            <w:r>
              <w:rPr>
                <w:rFonts w:ascii="Arial" w:cs="Arial" w:eastAsia="Arial" w:hAnsi="Arial"/>
                <w:sz w:val="21"/>
                <w:szCs w:val="21"/>
                <w:color w:val="431C5B"/>
                <w:w w:val="96"/>
                <w:vertAlign w:val="superscript"/>
              </w:rPr>
              <w:t>(1)</w:t>
            </w:r>
          </w:p>
        </w:tc>
        <w:tc>
          <w:tcPr>
            <w:tcW w:w="1740" w:type="dxa"/>
            <w:vAlign w:val="bottom"/>
          </w:tcPr>
          <w:p>
            <w:pPr>
              <w:jc w:val="center"/>
              <w:spacing w:after="0"/>
              <w:rPr>
                <w:sz w:val="20"/>
                <w:szCs w:val="20"/>
                <w:color w:val="auto"/>
              </w:rPr>
            </w:pPr>
            <w:r>
              <w:rPr>
                <w:rFonts w:ascii="Arial" w:cs="Arial" w:eastAsia="Arial" w:hAnsi="Arial"/>
                <w:sz w:val="16"/>
                <w:szCs w:val="16"/>
                <w:color w:val="431C5B"/>
              </w:rPr>
              <w:t>Vice President, Chief</w:t>
            </w:r>
          </w:p>
        </w:tc>
        <w:tc>
          <w:tcPr>
            <w:tcW w:w="1620" w:type="dxa"/>
            <w:vAlign w:val="bottom"/>
          </w:tcPr>
          <w:p>
            <w:pPr>
              <w:jc w:val="center"/>
              <w:ind w:left="38"/>
              <w:spacing w:after="0"/>
              <w:rPr>
                <w:sz w:val="20"/>
                <w:szCs w:val="20"/>
                <w:color w:val="auto"/>
              </w:rPr>
            </w:pPr>
            <w:r>
              <w:rPr>
                <w:rFonts w:ascii="Arial" w:cs="Arial" w:eastAsia="Arial" w:hAnsi="Arial"/>
                <w:sz w:val="16"/>
                <w:szCs w:val="16"/>
                <w:color w:val="431C5B"/>
              </w:rPr>
              <w:t>Vice President, Chief</w:t>
            </w:r>
          </w:p>
        </w:tc>
      </w:tr>
      <w:tr>
        <w:trPr>
          <w:trHeight w:val="215"/>
        </w:trPr>
        <w:tc>
          <w:tcPr>
            <w:tcW w:w="17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431C5B"/>
              </w:rPr>
              <w:t>Financial Officer</w:t>
            </w:r>
          </w:p>
        </w:tc>
        <w:tc>
          <w:tcPr>
            <w:tcW w:w="17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431C5B"/>
              </w:rPr>
              <w:t>People Officer</w:t>
            </w:r>
          </w:p>
        </w:tc>
        <w:tc>
          <w:tcPr>
            <w:tcW w:w="1620" w:type="dxa"/>
            <w:vAlign w:val="bottom"/>
          </w:tcPr>
          <w:p>
            <w:pPr>
              <w:jc w:val="center"/>
              <w:ind w:left="18"/>
              <w:spacing w:after="0"/>
              <w:rPr>
                <w:sz w:val="20"/>
                <w:szCs w:val="20"/>
                <w:color w:val="auto"/>
              </w:rPr>
            </w:pPr>
            <w:r>
              <w:rPr>
                <w:rFonts w:ascii="Arial" w:cs="Arial" w:eastAsia="Arial" w:hAnsi="Arial"/>
                <w:sz w:val="16"/>
                <w:szCs w:val="16"/>
                <w:color w:val="431C5B"/>
              </w:rPr>
              <w:t>Legal &amp; Corporate</w:t>
            </w:r>
          </w:p>
        </w:tc>
      </w:tr>
      <w:tr>
        <w:trPr>
          <w:trHeight w:val="204"/>
        </w:trPr>
        <w:tc>
          <w:tcPr>
            <w:tcW w:w="1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20" w:type="dxa"/>
            <w:vAlign w:val="bottom"/>
          </w:tcPr>
          <w:p>
            <w:pPr>
              <w:jc w:val="center"/>
              <w:ind w:left="38"/>
              <w:spacing w:after="0"/>
              <w:rPr>
                <w:sz w:val="20"/>
                <w:szCs w:val="20"/>
                <w:color w:val="auto"/>
              </w:rPr>
            </w:pPr>
            <w:r>
              <w:rPr>
                <w:rFonts w:ascii="Arial" w:cs="Arial" w:eastAsia="Arial" w:hAnsi="Arial"/>
                <w:sz w:val="16"/>
                <w:szCs w:val="16"/>
                <w:color w:val="431C5B"/>
              </w:rPr>
              <w:t>Affairs Officer and</w:t>
            </w:r>
          </w:p>
        </w:tc>
      </w:tr>
      <w:tr>
        <w:trPr>
          <w:trHeight w:val="215"/>
        </w:trPr>
        <w:tc>
          <w:tcPr>
            <w:tcW w:w="1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20" w:type="dxa"/>
            <w:vAlign w:val="bottom"/>
          </w:tcPr>
          <w:p>
            <w:pPr>
              <w:jc w:val="center"/>
              <w:ind w:left="38"/>
              <w:spacing w:after="0"/>
              <w:rPr>
                <w:sz w:val="20"/>
                <w:szCs w:val="20"/>
                <w:color w:val="auto"/>
              </w:rPr>
            </w:pPr>
            <w:r>
              <w:rPr>
                <w:rFonts w:ascii="Arial" w:cs="Arial" w:eastAsia="Arial" w:hAnsi="Arial"/>
                <w:sz w:val="16"/>
                <w:szCs w:val="16"/>
                <w:color w:val="431C5B"/>
              </w:rPr>
              <w:t>Corporate Secretary</w:t>
            </w:r>
          </w:p>
        </w:tc>
      </w:tr>
    </w:tbl>
    <w:p>
      <w:pPr>
        <w:spacing w:after="0" w:line="308" w:lineRule="exact"/>
        <w:rPr>
          <w:sz w:val="20"/>
          <w:szCs w:val="20"/>
          <w:color w:val="auto"/>
        </w:rPr>
      </w:pPr>
    </w:p>
    <w:p>
      <w:pPr>
        <w:ind w:left="380" w:right="179" w:hanging="250"/>
        <w:spacing w:after="0" w:line="236" w:lineRule="auto"/>
        <w:tabs>
          <w:tab w:leader="none" w:pos="38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Mr. Bhathena resigned from employment at the Company effective March 20, 2026. In connection with his resignation, Mr. Bhathena did not receive any severance or equity vestings.</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Executive Summary</w:t>
      </w:r>
    </w:p>
    <w:p>
      <w:pPr>
        <w:spacing w:after="0" w:line="107" w:lineRule="exact"/>
        <w:rPr>
          <w:sz w:val="20"/>
          <w:szCs w:val="20"/>
          <w:color w:val="auto"/>
        </w:rPr>
      </w:pPr>
    </w:p>
    <w:p>
      <w:pPr>
        <w:ind w:left="140" w:right="719"/>
        <w:spacing w:after="0" w:line="332" w:lineRule="auto"/>
        <w:rPr>
          <w:sz w:val="20"/>
          <w:szCs w:val="20"/>
          <w:color w:val="auto"/>
        </w:rPr>
      </w:pPr>
      <w:r>
        <w:rPr>
          <w:rFonts w:ascii="Arial" w:cs="Arial" w:eastAsia="Arial" w:hAnsi="Arial"/>
          <w:sz w:val="16"/>
          <w:szCs w:val="16"/>
          <w:b w:val="1"/>
          <w:bCs w:val="1"/>
          <w:color w:val="auto"/>
          <w:highlight w:val="white"/>
        </w:rPr>
        <w:t>In 2025, we continued to advance our strategic transformation, and we met or exceeded all of our financial targets communicated to investors at the beginning of the year.</w:t>
      </w:r>
    </w:p>
    <w:p>
      <w:pPr>
        <w:spacing w:after="0" w:line="71" w:lineRule="exact"/>
        <w:rPr>
          <w:sz w:val="20"/>
          <w:szCs w:val="20"/>
          <w:color w:val="auto"/>
        </w:rPr>
      </w:pPr>
    </w:p>
    <w:p>
      <w:pPr>
        <w:ind w:left="320" w:right="199" w:hanging="190"/>
        <w:spacing w:after="0" w:line="292" w:lineRule="auto"/>
        <w:tabs>
          <w:tab w:leader="none" w:pos="320" w:val="left"/>
        </w:tabs>
        <w:numPr>
          <w:ilvl w:val="0"/>
          <w:numId w:val="66"/>
        </w:numPr>
        <w:rPr>
          <w:rFonts w:ascii="Arial" w:cs="Arial" w:eastAsia="Arial" w:hAnsi="Arial"/>
          <w:sz w:val="16"/>
          <w:szCs w:val="16"/>
          <w:color w:val="auto"/>
          <w:highlight w:val="white"/>
        </w:rPr>
      </w:pPr>
      <w:r>
        <w:rPr>
          <w:rFonts w:ascii="Arial" w:cs="Arial" w:eastAsia="Arial" w:hAnsi="Arial"/>
          <w:sz w:val="16"/>
          <w:szCs w:val="16"/>
          <w:color w:val="auto"/>
          <w:highlight w:val="white"/>
        </w:rPr>
        <w:t>We sharpened our focus and strengthened our strategic and financial position by reaching agreements to acquire the Issuer Solutions business (which has been rebranded as FIS Total Issuing Solutions) from Global Payments and to sell our remaining equity interest in Worldpay.</w:t>
      </w:r>
    </w:p>
    <w:p>
      <w:pPr>
        <w:spacing w:after="0" w:line="16" w:lineRule="exact"/>
        <w:rPr>
          <w:rFonts w:ascii="Arial" w:cs="Arial" w:eastAsia="Arial" w:hAnsi="Arial"/>
          <w:sz w:val="16"/>
          <w:szCs w:val="16"/>
          <w:color w:val="auto"/>
          <w:highlight w:val="white"/>
        </w:rPr>
      </w:pPr>
    </w:p>
    <w:p>
      <w:pPr>
        <w:ind w:left="320" w:right="119" w:hanging="190"/>
        <w:spacing w:after="0" w:line="272" w:lineRule="auto"/>
        <w:tabs>
          <w:tab w:leader="none" w:pos="320" w:val="left"/>
        </w:tabs>
        <w:numPr>
          <w:ilvl w:val="0"/>
          <w:numId w:val="66"/>
        </w:numPr>
        <w:rPr>
          <w:rFonts w:ascii="Arial" w:cs="Arial" w:eastAsia="Arial" w:hAnsi="Arial"/>
          <w:sz w:val="16"/>
          <w:szCs w:val="16"/>
          <w:color w:val="auto"/>
          <w:highlight w:val="white"/>
        </w:rPr>
      </w:pPr>
      <w:r>
        <w:rPr>
          <w:rFonts w:ascii="Arial" w:cs="Arial" w:eastAsia="Arial" w:hAnsi="Arial"/>
          <w:sz w:val="16"/>
          <w:szCs w:val="16"/>
          <w:color w:val="auto"/>
          <w:highlight w:val="white"/>
        </w:rPr>
        <w:t xml:space="preserve">We achieved or exceeded our guidance for all key financial metrics, with revenue growth of 5% and Adjusted Revenue growth of 5.8%, above the top end of our guidance range communicated to investors; net income attributable to FIS from continuing operations of $382 million and Adjusted EBITDA </w:t>
      </w:r>
      <w:r>
        <w:rPr>
          <w:rFonts w:ascii="Arial" w:cs="Arial" w:eastAsia="Arial" w:hAnsi="Arial"/>
          <w:sz w:val="16"/>
          <w:szCs w:val="16"/>
          <w:color w:val="auto"/>
        </w:rPr>
        <w:t>of $4.331 billion, at the top end of our guidance range;</w:t>
      </w:r>
      <w:r>
        <w:rPr>
          <w:rFonts w:ascii="Arial" w:cs="Arial" w:eastAsia="Arial" w:hAnsi="Arial"/>
          <w:sz w:val="16"/>
          <w:szCs w:val="16"/>
          <w:color w:val="auto"/>
          <w:highlight w:val="white"/>
        </w:rPr>
        <w:t xml:space="preserve"> diluted EPS of $0.73 and Adjusted EPS growth of 10.2%, at the midpoint of our guidance range; and Adjusted free cash flow conversion of 88%, above the top end of our guidance range.</w:t>
      </w:r>
      <w:r>
        <w:rPr>
          <w:rFonts w:ascii="Arial" w:cs="Arial" w:eastAsia="Arial" w:hAnsi="Arial"/>
          <w:sz w:val="21"/>
          <w:szCs w:val="21"/>
          <w:color w:val="auto"/>
          <w:highlight w:val="white"/>
          <w:vertAlign w:val="superscript"/>
        </w:rPr>
        <w:t>1</w:t>
      </w:r>
    </w:p>
    <w:p>
      <w:pPr>
        <w:spacing w:after="0" w:line="1" w:lineRule="exact"/>
        <w:rPr>
          <w:rFonts w:ascii="Arial" w:cs="Arial" w:eastAsia="Arial" w:hAnsi="Arial"/>
          <w:sz w:val="16"/>
          <w:szCs w:val="16"/>
          <w:color w:val="auto"/>
          <w:highlight w:val="white"/>
        </w:rPr>
      </w:pPr>
    </w:p>
    <w:p>
      <w:pPr>
        <w:ind w:left="320" w:right="1059" w:hanging="190"/>
        <w:spacing w:after="0" w:line="319" w:lineRule="auto"/>
        <w:tabs>
          <w:tab w:leader="none" w:pos="320" w:val="left"/>
        </w:tabs>
        <w:numPr>
          <w:ilvl w:val="0"/>
          <w:numId w:val="66"/>
        </w:numPr>
        <w:rPr>
          <w:rFonts w:ascii="Arial" w:cs="Arial" w:eastAsia="Arial" w:hAnsi="Arial"/>
          <w:sz w:val="16"/>
          <w:szCs w:val="16"/>
          <w:color w:val="auto"/>
          <w:highlight w:val="white"/>
        </w:rPr>
      </w:pPr>
      <w:r>
        <w:rPr>
          <w:rFonts w:ascii="Arial" w:cs="Arial" w:eastAsia="Arial" w:hAnsi="Arial"/>
          <w:sz w:val="16"/>
          <w:szCs w:val="16"/>
          <w:color w:val="auto"/>
          <w:highlight w:val="white"/>
        </w:rPr>
        <w:t>We made significant strides to drive commercial excellence across the enterprise and refocus sales on key growth vectors.</w:t>
      </w:r>
    </w:p>
    <w:p>
      <w:pPr>
        <w:spacing w:after="0" w:line="85" w:lineRule="exact"/>
        <w:rPr>
          <w:sz w:val="20"/>
          <w:szCs w:val="20"/>
          <w:color w:val="auto"/>
        </w:rPr>
      </w:pPr>
    </w:p>
    <w:p>
      <w:pPr>
        <w:ind w:left="300" w:right="219" w:hanging="170"/>
        <w:spacing w:after="0" w:line="245" w:lineRule="auto"/>
        <w:tabs>
          <w:tab w:leader="none" w:pos="300" w:val="left"/>
        </w:tabs>
        <w:numPr>
          <w:ilvl w:val="0"/>
          <w:numId w:val="67"/>
        </w:numPr>
        <w:rPr>
          <w:rFonts w:ascii="Arial" w:cs="Arial" w:eastAsia="Arial" w:hAnsi="Arial"/>
          <w:sz w:val="16"/>
          <w:szCs w:val="16"/>
          <w:color w:val="auto"/>
          <w:vertAlign w:val="superscript"/>
        </w:rPr>
      </w:pPr>
      <w:r>
        <w:rPr>
          <w:rFonts w:ascii="Arial" w:cs="Arial" w:eastAsia="Arial" w:hAnsi="Arial"/>
          <w:sz w:val="13"/>
          <w:szCs w:val="13"/>
          <w:color w:val="auto"/>
        </w:rPr>
        <w:t xml:space="preserve">Adjusted Revenue, </w:t>
      </w:r>
      <w:r>
        <w:rPr>
          <w:rFonts w:ascii="Arial" w:cs="Arial" w:eastAsia="Arial" w:hAnsi="Arial"/>
          <w:sz w:val="13"/>
          <w:szCs w:val="13"/>
          <w:color w:val="auto"/>
          <w:highlight w:val="white"/>
        </w:rPr>
        <w:t>Adjusted EBITDA and Adjusted EPS</w:t>
      </w:r>
      <w:r>
        <w:rPr>
          <w:rFonts w:ascii="Arial" w:cs="Arial" w:eastAsia="Arial" w:hAnsi="Arial"/>
          <w:sz w:val="13"/>
          <w:szCs w:val="13"/>
          <w:color w:val="auto"/>
        </w:rPr>
        <w:t xml:space="preserve"> are financial measures that are not calculated in accordance with GAAP. Adjusted free cash flow conversion is a ratio calculated as the quotient of two financial measures that are not calculated in accordance with GAAP. Please see Appendix A for reconciliations of these measures to the most directly comparable GAAP measures.</w:t>
      </w:r>
    </w:p>
    <w:p>
      <w:pPr>
        <w:sectPr>
          <w:pgSz w:w="11900" w:h="16838" w:orient="portrait"/>
          <w:cols w:equalWidth="0" w:num="1">
            <w:col w:w="9019"/>
          </w:cols>
          <w:pgMar w:left="1440" w:top="11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20" w:hanging="429"/>
        <w:spacing w:after="0"/>
        <w:tabs>
          <w:tab w:leader="none" w:pos="620" w:val="left"/>
        </w:tabs>
        <w:numPr>
          <w:ilvl w:val="0"/>
          <w:numId w:val="68"/>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1176" w:right="1440" w:bottom="1440" w:gutter="0" w:footer="0" w:header="0"/>
          <w:type w:val="continuous"/>
        </w:sectPr>
      </w:pPr>
    </w:p>
    <w:bookmarkStart w:id="51" w:name="page52"/>
    <w:bookmarkEnd w:id="51"/>
    <w:p>
      <w:pPr>
        <w:ind w:left="6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15"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We are proud of the operating and financial performance we continued to achieve and deliver in 2025, in spite of broader industry disruption which has weighed on share price performance. As the system of record at the heart of global financial institutions, we hold the industry’s most comprehensive data set, maintain long-standing and deeply-embedded relationships, and operate a highly specialized regulatory and compliance infrastructure that would be significantly difficult to replicate — all of which positions us uniquely to deliver differentiated AI solutions.</w:t>
      </w:r>
    </w:p>
    <w:p>
      <w:pPr>
        <w:spacing w:after="0" w:line="134" w:lineRule="exact"/>
        <w:rPr>
          <w:sz w:val="20"/>
          <w:szCs w:val="20"/>
          <w:color w:val="auto"/>
        </w:rPr>
      </w:pPr>
    </w:p>
    <w:p>
      <w:pPr>
        <w:ind w:left="140" w:right="839"/>
        <w:spacing w:after="0" w:line="332" w:lineRule="auto"/>
        <w:rPr>
          <w:sz w:val="20"/>
          <w:szCs w:val="20"/>
          <w:color w:val="auto"/>
        </w:rPr>
      </w:pPr>
      <w:r>
        <w:rPr>
          <w:rFonts w:ascii="Arial" w:cs="Arial" w:eastAsia="Arial" w:hAnsi="Arial"/>
          <w:sz w:val="16"/>
          <w:szCs w:val="16"/>
          <w:b w:val="1"/>
          <w:bCs w:val="1"/>
          <w:color w:val="auto"/>
          <w:highlight w:val="white"/>
        </w:rPr>
        <w:t>Our compensation programs are working as designed to align realized compensation with shareholders’ experience. Our CEO’s realized compensation has significantly trailed her target compensation.</w:t>
      </w:r>
    </w:p>
    <w:p>
      <w:pPr>
        <w:spacing w:after="0" w:line="71" w:lineRule="exact"/>
        <w:rPr>
          <w:sz w:val="20"/>
          <w:szCs w:val="20"/>
          <w:color w:val="auto"/>
        </w:rPr>
      </w:pPr>
    </w:p>
    <w:p>
      <w:pPr>
        <w:ind w:left="320" w:right="779" w:hanging="190"/>
        <w:spacing w:after="0" w:line="308" w:lineRule="auto"/>
        <w:tabs>
          <w:tab w:leader="none" w:pos="320" w:val="left"/>
        </w:tabs>
        <w:numPr>
          <w:ilvl w:val="0"/>
          <w:numId w:val="69"/>
        </w:numPr>
        <w:rPr>
          <w:rFonts w:ascii="Arial" w:cs="Arial" w:eastAsia="Arial" w:hAnsi="Arial"/>
          <w:sz w:val="16"/>
          <w:szCs w:val="16"/>
          <w:color w:val="auto"/>
          <w:highlight w:val="white"/>
        </w:rPr>
      </w:pPr>
      <w:r>
        <w:rPr>
          <w:rFonts w:ascii="Arial" w:cs="Arial" w:eastAsia="Arial" w:hAnsi="Arial"/>
          <w:sz w:val="16"/>
          <w:szCs w:val="16"/>
          <w:color w:val="auto"/>
          <w:highlight w:val="white"/>
        </w:rPr>
        <w:t>The 2023 PSUs paid out at 50% of target number of shares (and 40.2% of target value) based on relative TSR performance, while premium-priced stock options awarded in 2023 are currently out of the money.</w:t>
      </w:r>
    </w:p>
    <w:p>
      <w:pPr>
        <w:ind w:left="320" w:right="1559" w:hanging="190"/>
        <w:spacing w:after="0" w:line="321" w:lineRule="auto"/>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2024 and 2025 PSUs are subject to a relative TSR modifier applied at the end of the three-year performance period.</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highlight w:val="white"/>
        </w:rPr>
        <w:t>Our compensation mix is structured to continue to drive and reward performance.</w:t>
      </w:r>
    </w:p>
    <w:p>
      <w:pPr>
        <w:spacing w:after="0" w:line="181" w:lineRule="exact"/>
        <w:rPr>
          <w:sz w:val="20"/>
          <w:szCs w:val="20"/>
          <w:color w:val="auto"/>
        </w:rPr>
      </w:pPr>
    </w:p>
    <w:p>
      <w:pPr>
        <w:ind w:left="320" w:right="139" w:hanging="190"/>
        <w:spacing w:after="0" w:line="308" w:lineRule="auto"/>
        <w:tabs>
          <w:tab w:leader="none" w:pos="320" w:val="left"/>
        </w:tabs>
        <w:numPr>
          <w:ilvl w:val="0"/>
          <w:numId w:val="70"/>
        </w:numPr>
        <w:rPr>
          <w:rFonts w:ascii="Arial" w:cs="Arial" w:eastAsia="Arial" w:hAnsi="Arial"/>
          <w:sz w:val="16"/>
          <w:szCs w:val="16"/>
          <w:color w:val="auto"/>
          <w:highlight w:val="white"/>
        </w:rPr>
      </w:pPr>
      <w:r>
        <w:rPr>
          <w:rFonts w:ascii="Arial" w:cs="Arial" w:eastAsia="Arial" w:hAnsi="Arial"/>
          <w:sz w:val="16"/>
          <w:szCs w:val="16"/>
          <w:color w:val="auto"/>
          <w:highlight w:val="white"/>
        </w:rPr>
        <w:t>Our CEO’s pay is 94.5% at risk based on performance goals and changes in stock price, with approximately 66% linked to clear performance-based goals.</w:t>
      </w:r>
    </w:p>
    <w:p>
      <w:pPr>
        <w:ind w:left="320" w:right="279" w:hanging="190"/>
        <w:spacing w:after="0" w:line="321" w:lineRule="auto"/>
        <w:tabs>
          <w:tab w:leader="none" w:pos="3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82% of the CEO’s total target compensation is in the form of long-term incentive compensation, and 65% of her target long-term incentive compensation is performance-based in the form of PSUs.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highlight w:val="white"/>
        </w:rPr>
        <w:t>CEO 2025 Target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right="219" w:hanging="190"/>
        <w:spacing w:after="0" w:line="321" w:lineRule="auto"/>
        <w:tabs>
          <w:tab w:leader="none" w:pos="320" w:val="left"/>
        </w:tabs>
        <w:numPr>
          <w:ilvl w:val="0"/>
          <w:numId w:val="71"/>
        </w:numPr>
        <w:rPr>
          <w:rFonts w:ascii="Arial" w:cs="Arial" w:eastAsia="Arial" w:hAnsi="Arial"/>
          <w:sz w:val="16"/>
          <w:szCs w:val="16"/>
          <w:color w:val="auto"/>
          <w:highlight w:val="white"/>
        </w:rPr>
      </w:pPr>
      <w:r>
        <w:rPr>
          <w:rFonts w:ascii="Arial" w:cs="Arial" w:eastAsia="Arial" w:hAnsi="Arial"/>
          <w:sz w:val="16"/>
          <w:szCs w:val="16"/>
          <w:color w:val="auto"/>
          <w:highlight w:val="white"/>
        </w:rPr>
        <w:t>A large majority of our NEOs’ compensation continues to be in the form of equity awards, aligning executives’ interests with creation of long-term shareholder value.</w:t>
      </w:r>
    </w:p>
    <w:p>
      <w:pPr>
        <w:spacing w:after="0" w:line="88" w:lineRule="exact"/>
        <w:rPr>
          <w:sz w:val="20"/>
          <w:szCs w:val="20"/>
          <w:color w:val="auto"/>
        </w:rPr>
      </w:pPr>
    </w:p>
    <w:p>
      <w:pPr>
        <w:ind w:left="140" w:right="199"/>
        <w:spacing w:after="0" w:line="278" w:lineRule="auto"/>
        <w:rPr>
          <w:sz w:val="20"/>
          <w:szCs w:val="20"/>
          <w:color w:val="auto"/>
        </w:rPr>
      </w:pPr>
      <w:r>
        <w:rPr>
          <w:rFonts w:ascii="Arial" w:cs="Arial" w:eastAsia="Arial" w:hAnsi="Arial"/>
          <w:sz w:val="16"/>
          <w:szCs w:val="16"/>
          <w:b w:val="1"/>
          <w:bCs w:val="1"/>
          <w:color w:val="auto"/>
        </w:rPr>
        <w:t xml:space="preserve">The CEO’s total target 2025 compensation opportunity reflects her strong performance and the extensive effort needed to lead the Company’s strategic transformation. </w:t>
      </w:r>
      <w:r>
        <w:rPr>
          <w:rFonts w:ascii="Arial" w:cs="Arial" w:eastAsia="Arial" w:hAnsi="Arial"/>
          <w:sz w:val="16"/>
          <w:szCs w:val="16"/>
          <w:color w:val="auto"/>
        </w:rPr>
        <w:t>Our Compensation Committee firmly believes that Ms. Ferris</w:t>
      </w:r>
      <w:r>
        <w:rPr>
          <w:rFonts w:ascii="Arial" w:cs="Arial" w:eastAsia="Arial" w:hAnsi="Arial"/>
          <w:sz w:val="16"/>
          <w:szCs w:val="16"/>
          <w:b w:val="1"/>
          <w:bCs w:val="1"/>
          <w:color w:val="auto"/>
        </w:rPr>
        <w:t xml:space="preserve"> </w:t>
      </w:r>
      <w:r>
        <w:rPr>
          <w:rFonts w:ascii="Arial" w:cs="Arial" w:eastAsia="Arial" w:hAnsi="Arial"/>
          <w:sz w:val="16"/>
          <w:szCs w:val="16"/>
          <w:color w:val="auto"/>
        </w:rPr>
        <w:t>is the right person to lead our ongoing transformation. When deciding the CEO’s total target compensation opportunity for 2025, the Compensation Committee recognized her strong performance, the significant progress made by the Company in its strategic transformation, the extensive effort required to lead the continuing transformation and the need to incentivize long-term value creation for our shareholders. The Compensation Committee also believed that it was important for the large majority of Ms. Ferris’ compensation increase to be in the form of long-term incentive compensation, in order to incentivize long-term value creation and to enhance retention. Accordingly, 88% of the 2025 increase in Ms. Ferris’ total target compensation opportunity was in the form of equity compensation (of which approximately 66% is linked to long-term performance goals), reinforcing the link between compensation, long-term performance and the shareholder experience. As a result, Ms. Ferris will achieve realized compensation above the peer group median only if the Company’s performance objectives are met or exceeded.</w:t>
      </w:r>
    </w:p>
    <w:p>
      <w:pPr>
        <w:spacing w:after="0" w:line="143" w:lineRule="exact"/>
        <w:rPr>
          <w:sz w:val="20"/>
          <w:szCs w:val="20"/>
          <w:color w:val="auto"/>
        </w:rPr>
      </w:pPr>
    </w:p>
    <w:p>
      <w:pPr>
        <w:ind w:left="140" w:right="239"/>
        <w:spacing w:after="0" w:line="292" w:lineRule="auto"/>
        <w:rPr>
          <w:sz w:val="20"/>
          <w:szCs w:val="20"/>
          <w:color w:val="auto"/>
        </w:rPr>
      </w:pPr>
      <w:r>
        <w:rPr>
          <w:rFonts w:ascii="Arial" w:cs="Arial" w:eastAsia="Arial" w:hAnsi="Arial"/>
          <w:sz w:val="16"/>
          <w:szCs w:val="16"/>
          <w:b w:val="1"/>
          <w:bCs w:val="1"/>
          <w:color w:val="auto"/>
        </w:rPr>
        <w:t xml:space="preserve">Our compensation program has continued to evolve to align with our ongoing transformation. </w:t>
      </w:r>
      <w:r>
        <w:rPr>
          <w:rFonts w:ascii="Arial" w:cs="Arial" w:eastAsia="Arial" w:hAnsi="Arial"/>
          <w:sz w:val="16"/>
          <w:szCs w:val="16"/>
          <w:color w:val="auto"/>
        </w:rPr>
        <w:t>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made modest adjustments to our executive compensation program in 2025 to drive and reward operational excellence and to emphasize goals that are appropriate for the current phase of our strategic transformation.</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2026 Compensation Program Changes:</w:t>
      </w:r>
    </w:p>
    <w:p>
      <w:pPr>
        <w:spacing w:after="0" w:line="86" w:lineRule="exact"/>
        <w:rPr>
          <w:sz w:val="20"/>
          <w:szCs w:val="20"/>
          <w:color w:val="auto"/>
        </w:rPr>
      </w:pPr>
    </w:p>
    <w:p>
      <w:pPr>
        <w:jc w:val="both"/>
        <w:ind w:left="140" w:right="139"/>
        <w:spacing w:after="0" w:line="292" w:lineRule="auto"/>
        <w:rPr>
          <w:sz w:val="20"/>
          <w:szCs w:val="20"/>
          <w:color w:val="auto"/>
        </w:rPr>
      </w:pPr>
      <w:r>
        <w:rPr>
          <w:rFonts w:ascii="Arial" w:cs="Arial" w:eastAsia="Arial" w:hAnsi="Arial"/>
          <w:sz w:val="16"/>
          <w:szCs w:val="16"/>
          <w:color w:val="auto"/>
        </w:rPr>
        <w:t>As described later in this proxy statement, to underscore our focus on motivating and incentivizing executives to generate TSR, the Compensation Committee approved a change to the 2026 long-term incentive program to broaden TSR as a key performance metric to include the CEO’s direct reports with a 20% weighting in PSUs awards.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49</w:t>
      </w:r>
    </w:p>
    <w:p>
      <w:pPr>
        <w:sectPr>
          <w:pgSz w:w="11900" w:h="16838" w:orient="portrait"/>
          <w:cols w:equalWidth="0" w:num="1">
            <w:col w:w="9019"/>
          </w:cols>
          <w:pgMar w:left="1440" w:top="657" w:right="1440" w:bottom="1440" w:gutter="0" w:footer="0" w:header="0"/>
          <w:type w:val="continuous"/>
        </w:sectPr>
      </w:pPr>
    </w:p>
    <w:bookmarkStart w:id="52" w:name="page53"/>
    <w:bookmarkEnd w:id="52"/>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Highlights of our 2025 executive compensation program include:</w:t>
      </w:r>
    </w:p>
    <w:p>
      <w:pPr>
        <w:spacing w:after="0" w:line="194" w:lineRule="exact"/>
        <w:rPr>
          <w:sz w:val="20"/>
          <w:szCs w:val="20"/>
          <w:color w:val="auto"/>
        </w:rPr>
      </w:pPr>
    </w:p>
    <w:p>
      <w:pPr>
        <w:ind w:left="320" w:right="179" w:hanging="190"/>
        <w:spacing w:after="0" w:line="292" w:lineRule="auto"/>
        <w:tabs>
          <w:tab w:leader="none" w:pos="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For the 2025 </w:t>
      </w:r>
      <w:r>
        <w:rPr>
          <w:rFonts w:ascii="Arial" w:cs="Arial" w:eastAsia="Arial" w:hAnsi="Arial"/>
          <w:sz w:val="16"/>
          <w:szCs w:val="16"/>
          <w:b w:val="1"/>
          <w:bCs w:val="1"/>
          <w:color w:val="auto"/>
        </w:rPr>
        <w:t>annual cash incentive program</w:t>
      </w:r>
      <w:r>
        <w:rPr>
          <w:rFonts w:ascii="Arial" w:cs="Arial" w:eastAsia="Arial" w:hAnsi="Arial"/>
          <w:sz w:val="16"/>
          <w:szCs w:val="16"/>
          <w:color w:val="auto"/>
        </w:rPr>
        <w:t>, the performance measures and their weightings were: Revenue (40%), Adjusted EBITDA (30%), Adjusted Earnings per Share (“Adjusted EPS”) (20%) and Net Promoter Score (10%), reflecting a greater emphasis on financial performance and profitability.</w:t>
      </w:r>
    </w:p>
    <w:p>
      <w:pPr>
        <w:spacing w:after="0" w:line="3" w:lineRule="exact"/>
        <w:rPr>
          <w:rFonts w:ascii="Arial" w:cs="Arial" w:eastAsia="Arial" w:hAnsi="Arial"/>
          <w:sz w:val="16"/>
          <w:szCs w:val="16"/>
          <w:color w:val="auto"/>
        </w:rPr>
      </w:pPr>
    </w:p>
    <w:p>
      <w:pPr>
        <w:ind w:left="520" w:right="219" w:hanging="196"/>
        <w:spacing w:after="0" w:line="316" w:lineRule="auto"/>
        <w:tabs>
          <w:tab w:leader="none" w:pos="5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Compensation Committee added Adjusted EPS as an additional financial performance metric in order to further increase the focus on profitability objectives.</w:t>
      </w:r>
    </w:p>
    <w:p>
      <w:pPr>
        <w:spacing w:after="0" w:line="1" w:lineRule="exact"/>
        <w:rPr>
          <w:rFonts w:ascii="Arial" w:cs="Arial" w:eastAsia="Arial" w:hAnsi="Arial"/>
          <w:sz w:val="16"/>
          <w:szCs w:val="16"/>
          <w:color w:val="auto"/>
        </w:rPr>
      </w:pPr>
    </w:p>
    <w:p>
      <w:pPr>
        <w:ind w:left="520" w:right="259" w:hanging="196"/>
        <w:spacing w:after="0" w:line="292" w:lineRule="auto"/>
        <w:tabs>
          <w:tab w:leader="none" w:pos="5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Compensation Committee also increased the aggregate weighting of financial performance goals from 80% in 2024 to 90% in 2025 to reflect the greater importance of financial performance improvement to the Company at this stage of our transformation.</w:t>
      </w:r>
    </w:p>
    <w:p>
      <w:pPr>
        <w:spacing w:after="0" w:line="3" w:lineRule="exact"/>
        <w:rPr>
          <w:rFonts w:ascii="Arial" w:cs="Arial" w:eastAsia="Arial" w:hAnsi="Arial"/>
          <w:sz w:val="16"/>
          <w:szCs w:val="16"/>
          <w:color w:val="auto"/>
        </w:rPr>
      </w:pPr>
    </w:p>
    <w:p>
      <w:pPr>
        <w:ind w:left="520" w:right="439" w:hanging="196"/>
        <w:spacing w:after="0" w:line="321" w:lineRule="auto"/>
        <w:tabs>
          <w:tab w:leader="none" w:pos="5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overall payout was 100% of the target amount, as the Company exceeded the program’s target for Revenue and was slightly behind the targets for Adjusted EBITDA and Adjusted EPS.</w:t>
      </w:r>
    </w:p>
    <w:p>
      <w:pPr>
        <w:spacing w:after="0" w:line="101" w:lineRule="exact"/>
        <w:rPr>
          <w:rFonts w:ascii="Arial" w:cs="Arial" w:eastAsia="Arial" w:hAnsi="Arial"/>
          <w:sz w:val="16"/>
          <w:szCs w:val="16"/>
          <w:color w:val="auto"/>
        </w:rPr>
      </w:pPr>
    </w:p>
    <w:p>
      <w:pPr>
        <w:ind w:left="320" w:right="159" w:hanging="190"/>
        <w:spacing w:after="0" w:line="304" w:lineRule="auto"/>
        <w:tabs>
          <w:tab w:leader="none" w:pos="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The design and performance measures used in the </w:t>
      </w:r>
      <w:r>
        <w:rPr>
          <w:rFonts w:ascii="Arial" w:cs="Arial" w:eastAsia="Arial" w:hAnsi="Arial"/>
          <w:sz w:val="16"/>
          <w:szCs w:val="16"/>
          <w:b w:val="1"/>
          <w:bCs w:val="1"/>
          <w:color w:val="auto"/>
        </w:rPr>
        <w:t>performance stock units</w:t>
      </w:r>
      <w:r>
        <w:rPr>
          <w:rFonts w:ascii="Arial" w:cs="Arial" w:eastAsia="Arial" w:hAnsi="Arial"/>
          <w:sz w:val="16"/>
          <w:szCs w:val="16"/>
          <w:color w:val="auto"/>
        </w:rPr>
        <w:t xml:space="preserve"> awarded in 2025 were very similar to the 2024 PSUs.</w:t>
      </w:r>
    </w:p>
    <w:p>
      <w:pPr>
        <w:spacing w:after="0" w:line="6" w:lineRule="exact"/>
        <w:rPr>
          <w:rFonts w:ascii="Arial" w:cs="Arial" w:eastAsia="Arial" w:hAnsi="Arial"/>
          <w:sz w:val="16"/>
          <w:szCs w:val="16"/>
          <w:color w:val="auto"/>
        </w:rPr>
      </w:pPr>
    </w:p>
    <w:p>
      <w:pPr>
        <w:ind w:left="520" w:right="539" w:hanging="196"/>
        <w:spacing w:after="0" w:line="289" w:lineRule="auto"/>
        <w:tabs>
          <w:tab w:leader="none" w:pos="5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measures are Adjusted Revenue Growth and Adjusted EPS Growth (weighted 50% each), which align with the drivers of our long-term financial performance. The growth goals for all three years in the performance period were set in advance at the time of grant and were consistent with our long-range plan and the expectations for key measures that we communicated to our investors.</w:t>
      </w:r>
    </w:p>
    <w:p>
      <w:pPr>
        <w:spacing w:after="0" w:line="4" w:lineRule="exact"/>
        <w:rPr>
          <w:rFonts w:ascii="Arial" w:cs="Arial" w:eastAsia="Arial" w:hAnsi="Arial"/>
          <w:sz w:val="16"/>
          <w:szCs w:val="16"/>
          <w:color w:val="auto"/>
        </w:rPr>
      </w:pPr>
    </w:p>
    <w:p>
      <w:pPr>
        <w:ind w:left="520" w:right="199" w:hanging="196"/>
        <w:spacing w:after="0" w:line="308" w:lineRule="auto"/>
        <w:tabs>
          <w:tab w:leader="none" w:pos="5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Consistent with our performance against these measures, the first tranche of the 2025 PSUs was earned at 117% of the target number of shares.</w:t>
      </w:r>
    </w:p>
    <w:p>
      <w:pPr>
        <w:ind w:left="520" w:right="279" w:hanging="196"/>
        <w:spacing w:after="0" w:line="299" w:lineRule="auto"/>
        <w:tabs>
          <w:tab w:leader="none" w:pos="5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ultimate number of shares earned is subject to potential adjustment by +/- 25% at the end of the three-year performance period based on our TSR relative to the S&amp;P 500 over that period, helping to align the ultimate payout with the shareholder experience.</w:t>
      </w:r>
    </w:p>
    <w:p>
      <w:pPr>
        <w:ind w:left="320" w:right="159" w:hanging="190"/>
        <w:spacing w:after="0" w:line="282" w:lineRule="auto"/>
        <w:tabs>
          <w:tab w:leader="none" w:pos="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Although revenue and EPS metrics are used in both the annual cash incentive program and the PSUs, we also incorporate additional performance measures in order to strike an appropriate balance with respect to incentivizing top-line growth, profitability, non-financial business imperatives and shareholder returns over both the short-term and long-term horizons. In addition, although the PSUs measure the rate of Adjusted Revenue Growth and Adjusted EPS growth annually, the target growth rate for each year was set in advance, at the time of grant, providing an additional area of divergence from the annual cash incentive program.</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2026 Compensation Program Changes:</w:t>
      </w:r>
    </w:p>
    <w:p>
      <w:pPr>
        <w:spacing w:after="0" w:line="181" w:lineRule="exact"/>
        <w:rPr>
          <w:sz w:val="20"/>
          <w:szCs w:val="20"/>
          <w:color w:val="auto"/>
        </w:rPr>
      </w:pPr>
    </w:p>
    <w:p>
      <w:pPr>
        <w:ind w:left="320" w:right="379" w:hanging="190"/>
        <w:spacing w:after="0" w:line="282" w:lineRule="auto"/>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2026, the Compensation Committee reduced the extent of overlap between the performance measures used in the annual cash incentive program and the PSUs by (1) shifting rTSR from a modifier to a stand-alone performance measure in the PSUs for the CEO and her direct reports, with a 20% weight and (2) removing EPS as a performance measure in the annual cash incentive program and replacing it with free cash flow, with a 20% weight. The Compensation Committee will continue to assess the performance measures in the annual cash incentive program and PSUs based on what it believes will best incentivize management to promote the long-term success of the Company.</w:t>
      </w:r>
    </w:p>
    <w:p>
      <w:pPr>
        <w:spacing w:after="0" w:line="134" w:lineRule="exact"/>
        <w:rPr>
          <w:sz w:val="20"/>
          <w:szCs w:val="20"/>
          <w:color w:val="auto"/>
        </w:rPr>
      </w:pPr>
    </w:p>
    <w:p>
      <w:pPr>
        <w:ind w:left="140" w:right="139"/>
        <w:spacing w:after="0" w:line="279" w:lineRule="auto"/>
        <w:rPr>
          <w:sz w:val="20"/>
          <w:szCs w:val="20"/>
          <w:color w:val="auto"/>
        </w:rPr>
      </w:pPr>
      <w:r>
        <w:rPr>
          <w:rFonts w:ascii="Arial" w:cs="Arial" w:eastAsia="Arial" w:hAnsi="Arial"/>
          <w:sz w:val="16"/>
          <w:szCs w:val="16"/>
          <w:b w:val="1"/>
          <w:bCs w:val="1"/>
          <w:color w:val="auto"/>
        </w:rPr>
        <w:t xml:space="preserve">The Compensation Committee continues to consider shareholder feedback in its decision-making process.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engagement process is embedded into our annual cadence of Board work. In early 2026, we offered engagement meetings to shareholders representing collectively more than 40% of our outstanding shares. Many of the shareholders to whom we offered engagement meetings replied that they had no concerns or questions that they wanted to discuss, but members of our management team and our Independent Chair met with all shareholders who accepted our offer to engage. Our discussions included our executive compensation program philosophy and structure, as well as adjustments we made to our executive compensation program in 2025, which were received positively.</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 w:hanging="429"/>
        <w:spacing w:after="0"/>
        <w:tabs>
          <w:tab w:leader="none" w:pos="620" w:val="left"/>
        </w:tabs>
        <w:numPr>
          <w:ilvl w:val="0"/>
          <w:numId w:val="74"/>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53" w:name="page54"/>
    <w:bookmarkEnd w:id="53"/>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highlight w:val="white"/>
        </w:rPr>
        <w:t>2025 Performance Highlights</w:t>
      </w:r>
    </w:p>
    <w:p>
      <w:pPr>
        <w:spacing w:after="0" w:line="107" w:lineRule="exact"/>
        <w:rPr>
          <w:sz w:val="20"/>
          <w:szCs w:val="20"/>
          <w:color w:val="auto"/>
        </w:rPr>
      </w:pPr>
    </w:p>
    <w:p>
      <w:pPr>
        <w:ind w:left="140" w:right="159"/>
        <w:spacing w:after="0" w:line="292" w:lineRule="auto"/>
        <w:rPr>
          <w:sz w:val="20"/>
          <w:szCs w:val="20"/>
          <w:color w:val="auto"/>
        </w:rPr>
      </w:pPr>
      <w:r>
        <w:rPr>
          <w:rFonts w:ascii="Arial" w:cs="Arial" w:eastAsia="Arial" w:hAnsi="Arial"/>
          <w:sz w:val="16"/>
          <w:szCs w:val="16"/>
          <w:color w:val="auto"/>
          <w:highlight w:val="white"/>
        </w:rPr>
        <w:t>2025 was a year of strong performance for FIS. Our financial results met or exceeded the expectations for key measures that we communicated to investors at the beginning of the year, we reached agreements to acquire the FIS Total Issuing Solutions business and to sell our remaining equity interest in Worldpay; these transactions were completed in early 2026.</w:t>
      </w:r>
    </w:p>
    <w:p>
      <w:pPr>
        <w:sectPr>
          <w:pgSz w:w="11900" w:h="16838" w:orient="portrait"/>
          <w:cols w:equalWidth="0" w:num="1">
            <w:col w:w="9019"/>
          </w:cols>
          <w:pgMar w:left="1440" w:top="657" w:right="1440" w:bottom="1440" w:gutter="0" w:footer="0" w:header="0"/>
        </w:sectPr>
      </w:pPr>
    </w:p>
    <w:p>
      <w:pPr>
        <w:spacing w:after="0" w:line="395" w:lineRule="exact"/>
        <w:rPr>
          <w:sz w:val="20"/>
          <w:szCs w:val="20"/>
          <w:color w:val="auto"/>
        </w:rPr>
      </w:pPr>
    </w:p>
    <w:p>
      <w:pPr>
        <w:ind w:left="300" w:right="1740"/>
        <w:spacing w:after="0" w:line="332" w:lineRule="auto"/>
        <w:rPr>
          <w:sz w:val="20"/>
          <w:szCs w:val="20"/>
          <w:color w:val="auto"/>
        </w:rPr>
      </w:pPr>
      <w:r>
        <w:rPr>
          <w:rFonts w:ascii="Arial" w:cs="Arial" w:eastAsia="Arial" w:hAnsi="Arial"/>
          <w:sz w:val="16"/>
          <w:szCs w:val="16"/>
          <w:b w:val="1"/>
          <w:bCs w:val="1"/>
          <w:color w:val="431C5B"/>
          <w:shd w:val="clear" w:color="auto" w:fill="EDFAEC"/>
        </w:rPr>
        <w:t>FINANCIAL RESULTS MET OR EXCEEDED GUIDANCE</w:t>
      </w:r>
    </w:p>
    <w:p>
      <w:pPr>
        <w:spacing w:after="0" w:line="314" w:lineRule="exact"/>
        <w:rPr>
          <w:sz w:val="20"/>
          <w:szCs w:val="20"/>
          <w:color w:val="auto"/>
        </w:rPr>
      </w:pPr>
    </w:p>
    <w:p>
      <w:pPr>
        <w:ind w:left="500" w:hanging="201"/>
        <w:spacing w:after="0" w:line="308"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Revenue growth of 5%; Adjusted revenue growth* accelerated to 5.8%, above top end of guidance range</w:t>
      </w:r>
    </w:p>
    <w:p>
      <w:pPr>
        <w:ind w:left="500" w:right="440" w:hanging="201"/>
        <w:spacing w:after="0" w:line="299"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Net income attributable to FIS from continuing operations of $382 million; Adjusted EBITDA* of $4.331 billion, at top end of guidance range</w:t>
      </w:r>
    </w:p>
    <w:p>
      <w:pPr>
        <w:ind w:left="500" w:right="20" w:hanging="201"/>
        <w:spacing w:after="0" w:line="308"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Diluted earnings per share of $0.73; Adjusted EPS* of $5.75 (10.2% growth), at midpoint of guidance range</w:t>
      </w:r>
    </w:p>
    <w:p>
      <w:pPr>
        <w:ind w:left="500" w:right="220" w:hanging="201"/>
        <w:spacing w:after="0" w:line="301"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Net cash provided by operating activities was $2.6 billion; Adjusted free cash flow* conversion of 88%, above top end of guidance range</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7" w:right="439"/>
        <w:spacing w:after="0" w:line="298" w:lineRule="auto"/>
        <w:rPr>
          <w:sz w:val="20"/>
          <w:szCs w:val="20"/>
          <w:color w:val="auto"/>
        </w:rPr>
      </w:pPr>
      <w:r>
        <w:rPr>
          <w:rFonts w:ascii="Arial" w:cs="Arial" w:eastAsia="Arial" w:hAnsi="Arial"/>
          <w:sz w:val="16"/>
          <w:szCs w:val="16"/>
          <w:b w:val="1"/>
          <w:bCs w:val="1"/>
          <w:color w:val="431C5B"/>
          <w:shd w:val="clear" w:color="auto" w:fill="EDFAEC"/>
        </w:rPr>
        <w:t>ACQUISITION OF FIS TOTAL ISSUING SOLUTIONS BUSINESS AND SALE OF REMAINING WORLDPAY INTEREST</w:t>
      </w:r>
    </w:p>
    <w:p>
      <w:pPr>
        <w:spacing w:after="0" w:line="138" w:lineRule="exact"/>
        <w:rPr>
          <w:sz w:val="20"/>
          <w:szCs w:val="20"/>
          <w:color w:val="auto"/>
        </w:rPr>
      </w:pPr>
    </w:p>
    <w:p>
      <w:pPr>
        <w:jc w:val="both"/>
        <w:ind w:left="187" w:right="559" w:hanging="187"/>
        <w:spacing w:after="0" w:line="308" w:lineRule="auto"/>
        <w:tabs>
          <w:tab w:leader="none" w:pos="187" w:val="left"/>
        </w:tabs>
        <w:numPr>
          <w:ilvl w:val="0"/>
          <w:numId w:val="76"/>
        </w:numPr>
        <w:rPr>
          <w:rFonts w:ascii="Arial" w:cs="Arial" w:eastAsia="Arial" w:hAnsi="Arial"/>
          <w:sz w:val="16"/>
          <w:szCs w:val="16"/>
          <w:color w:val="auto"/>
          <w:shd w:val="clear" w:color="auto" w:fill="EDFAEC"/>
        </w:rPr>
      </w:pPr>
      <w:r>
        <w:rPr>
          <w:rFonts w:ascii="Arial" w:cs="Arial" w:eastAsia="Arial" w:hAnsi="Arial"/>
          <w:sz w:val="16"/>
          <w:szCs w:val="16"/>
          <w:color w:val="auto"/>
          <w:shd w:val="clear" w:color="auto" w:fill="EDFAEC"/>
        </w:rPr>
        <w:t>Acquisition brings modern product roadmap and a strong presence serving large financial institutions</w:t>
      </w:r>
    </w:p>
    <w:p>
      <w:pPr>
        <w:ind w:left="187" w:right="539" w:hanging="187"/>
        <w:spacing w:after="0" w:line="289" w:lineRule="auto"/>
        <w:tabs>
          <w:tab w:leader="none" w:pos="187" w:val="left"/>
        </w:tabs>
        <w:numPr>
          <w:ilvl w:val="0"/>
          <w:numId w:val="76"/>
        </w:numPr>
        <w:rPr>
          <w:rFonts w:ascii="Arial" w:cs="Arial" w:eastAsia="Arial" w:hAnsi="Arial"/>
          <w:sz w:val="16"/>
          <w:szCs w:val="16"/>
          <w:color w:val="auto"/>
          <w:shd w:val="clear" w:color="auto" w:fill="EDFAEC"/>
        </w:rPr>
      </w:pPr>
      <w:r>
        <w:rPr>
          <w:rFonts w:ascii="Arial" w:cs="Arial" w:eastAsia="Arial" w:hAnsi="Arial"/>
          <w:sz w:val="16"/>
          <w:szCs w:val="16"/>
          <w:color w:val="auto"/>
          <w:shd w:val="clear" w:color="auto" w:fill="EDFAEC"/>
        </w:rPr>
        <w:t>With the acquisition, FIS now operates the most comprehensive data set in the industry, enabling differentiated insights and unlocking new AI-driven capabilities and platform innovation</w:t>
      </w:r>
    </w:p>
    <w:p>
      <w:pPr>
        <w:spacing w:after="0" w:line="18" w:lineRule="exact"/>
        <w:rPr>
          <w:rFonts w:ascii="Arial" w:cs="Arial" w:eastAsia="Arial" w:hAnsi="Arial"/>
          <w:sz w:val="16"/>
          <w:szCs w:val="16"/>
          <w:color w:val="auto"/>
          <w:shd w:val="clear" w:color="auto" w:fill="EDFAEC"/>
        </w:rPr>
      </w:pPr>
    </w:p>
    <w:p>
      <w:pPr>
        <w:ind w:left="187" w:hanging="187"/>
        <w:spacing w:after="0"/>
        <w:tabs>
          <w:tab w:leader="none" w:pos="187" w:val="left"/>
        </w:tabs>
        <w:numPr>
          <w:ilvl w:val="0"/>
          <w:numId w:val="76"/>
        </w:numPr>
        <w:rPr>
          <w:rFonts w:ascii="Arial" w:cs="Arial" w:eastAsia="Arial" w:hAnsi="Arial"/>
          <w:sz w:val="16"/>
          <w:szCs w:val="16"/>
          <w:color w:val="auto"/>
          <w:shd w:val="clear" w:color="auto" w:fill="EDFAEC"/>
        </w:rPr>
      </w:pPr>
      <w:r>
        <w:rPr>
          <w:rFonts w:ascii="Arial" w:cs="Arial" w:eastAsia="Arial" w:hAnsi="Arial"/>
          <w:sz w:val="16"/>
          <w:szCs w:val="16"/>
          <w:color w:val="auto"/>
          <w:shd w:val="clear" w:color="auto" w:fill="EDFAEC"/>
        </w:rPr>
        <w:t>Projected to be slightly accretive in the first year</w:t>
      </w:r>
    </w:p>
    <w:p>
      <w:pPr>
        <w:spacing w:after="0" w:line="72" w:lineRule="exact"/>
        <w:rPr>
          <w:rFonts w:ascii="Arial" w:cs="Arial" w:eastAsia="Arial" w:hAnsi="Arial"/>
          <w:sz w:val="16"/>
          <w:szCs w:val="16"/>
          <w:color w:val="auto"/>
          <w:shd w:val="clear" w:color="auto" w:fill="EDFAEC"/>
        </w:rPr>
      </w:pPr>
    </w:p>
    <w:p>
      <w:pPr>
        <w:ind w:left="187" w:right="439" w:hanging="187"/>
        <w:spacing w:after="0" w:line="321" w:lineRule="auto"/>
        <w:tabs>
          <w:tab w:leader="none" w:pos="187" w:val="left"/>
        </w:tabs>
        <w:numPr>
          <w:ilvl w:val="0"/>
          <w:numId w:val="76"/>
        </w:numPr>
        <w:rPr>
          <w:rFonts w:ascii="Arial" w:cs="Arial" w:eastAsia="Arial" w:hAnsi="Arial"/>
          <w:sz w:val="16"/>
          <w:szCs w:val="16"/>
          <w:color w:val="auto"/>
          <w:shd w:val="clear" w:color="auto" w:fill="EDFAEC"/>
        </w:rPr>
      </w:pPr>
      <w:r>
        <w:rPr>
          <w:rFonts w:ascii="Arial" w:cs="Arial" w:eastAsia="Arial" w:hAnsi="Arial"/>
          <w:sz w:val="16"/>
          <w:szCs w:val="16"/>
          <w:color w:val="auto"/>
          <w:shd w:val="clear" w:color="auto" w:fill="EDFAEC"/>
        </w:rPr>
        <w:t>Proceeds from Worldpay minority interest sale were redeployed into cash-generating assets</w:t>
      </w:r>
    </w:p>
    <w:p>
      <w:pPr>
        <w:spacing w:after="0" w:line="400" w:lineRule="exact"/>
        <w:rPr>
          <w:sz w:val="20"/>
          <w:szCs w:val="20"/>
          <w:color w:val="auto"/>
        </w:rPr>
      </w:pPr>
    </w:p>
    <w:p>
      <w:pPr>
        <w:sectPr>
          <w:pgSz w:w="11900" w:h="16838" w:orient="portrait"/>
          <w:cols w:equalWidth="0" w:num="2">
            <w:col w:w="4380" w:space="293"/>
            <w:col w:w="4346"/>
          </w:cols>
          <w:pgMar w:left="1440" w:top="657" w:right="1440" w:bottom="1440" w:gutter="0" w:footer="0" w:header="0"/>
          <w:type w:val="continuous"/>
        </w:sectPr>
      </w:pPr>
    </w:p>
    <w:p>
      <w:pPr>
        <w:spacing w:after="0" w:line="197" w:lineRule="exact"/>
        <w:rPr>
          <w:sz w:val="20"/>
          <w:szCs w:val="20"/>
          <w:color w:val="auto"/>
        </w:rPr>
      </w:pPr>
    </w:p>
    <w:p>
      <w:pPr>
        <w:ind w:left="300" w:right="219"/>
        <w:spacing w:after="0" w:line="273" w:lineRule="auto"/>
        <w:rPr>
          <w:sz w:val="20"/>
          <w:szCs w:val="20"/>
          <w:color w:val="auto"/>
        </w:rPr>
      </w:pPr>
      <w:r>
        <w:rPr>
          <w:rFonts w:ascii="Arial" w:cs="Arial" w:eastAsia="Arial" w:hAnsi="Arial"/>
          <w:sz w:val="13"/>
          <w:szCs w:val="13"/>
          <w:color w:val="auto"/>
          <w:shd w:val="clear" w:color="auto" w:fill="EDFAEC"/>
        </w:rPr>
        <w:t>*Adjusted revenue, adjusted EBITDA and adjusted EPS are financial measures that are not calculated in accordance with GAAP. Adjusted free cash flow conversion is a ratio calculated as the quotient of financial measures that are not calculated in accordance with GAAP. Please see Appendix A for reconciliations of these measures to the most directly comparable GAAP measures.</w:t>
      </w:r>
    </w:p>
    <w:p>
      <w:pPr>
        <w:spacing w:after="0" w:line="385" w:lineRule="exact"/>
        <w:rPr>
          <w:sz w:val="20"/>
          <w:szCs w:val="20"/>
          <w:color w:val="auto"/>
        </w:rPr>
      </w:pPr>
    </w:p>
    <w:p>
      <w:pPr>
        <w:ind w:left="140" w:right="239"/>
        <w:spacing w:after="0" w:line="289" w:lineRule="auto"/>
        <w:rPr>
          <w:sz w:val="20"/>
          <w:szCs w:val="20"/>
          <w:color w:val="auto"/>
        </w:rPr>
      </w:pPr>
      <w:r>
        <w:rPr>
          <w:rFonts w:ascii="Arial" w:cs="Arial" w:eastAsia="Arial" w:hAnsi="Arial"/>
          <w:sz w:val="16"/>
          <w:szCs w:val="16"/>
          <w:b w:val="1"/>
          <w:bCs w:val="1"/>
          <w:color w:val="auto"/>
        </w:rPr>
        <w:t xml:space="preserve">Activated Commercial Excellence Across the Enterprise: </w:t>
      </w:r>
      <w:r>
        <w:rPr>
          <w:rFonts w:ascii="Arial" w:cs="Arial" w:eastAsia="Arial" w:hAnsi="Arial"/>
          <w:sz w:val="16"/>
          <w:szCs w:val="16"/>
          <w:color w:val="auto"/>
        </w:rPr>
        <w:t>Our commercial excellence initiatives built momentum, as</w:t>
      </w:r>
      <w:r>
        <w:rPr>
          <w:rFonts w:ascii="Arial" w:cs="Arial" w:eastAsia="Arial" w:hAnsi="Arial"/>
          <w:sz w:val="16"/>
          <w:szCs w:val="16"/>
          <w:b w:val="1"/>
          <w:bCs w:val="1"/>
          <w:color w:val="auto"/>
        </w:rPr>
        <w:t xml:space="preserve"> </w:t>
      </w:r>
      <w:r>
        <w:rPr>
          <w:rFonts w:ascii="Arial" w:cs="Arial" w:eastAsia="Arial" w:hAnsi="Arial"/>
          <w:sz w:val="16"/>
          <w:szCs w:val="16"/>
          <w:color w:val="auto"/>
        </w:rPr>
        <w:t>recurring sales in the fourth quarter of 2025 increased 20% by annual contract value from the fourth quarter of 2024, with particularly strong recurring sales growth in high-growth solutions such as digital, payments and lending. Our targeted investments in high growth vectors and emerging technologies, including AI, are bearing fruit.</w:t>
      </w:r>
    </w:p>
    <w:p>
      <w:pPr>
        <w:spacing w:after="0" w:line="126" w:lineRule="exact"/>
        <w:rPr>
          <w:sz w:val="20"/>
          <w:szCs w:val="20"/>
          <w:color w:val="auto"/>
        </w:rPr>
      </w:pPr>
    </w:p>
    <w:p>
      <w:pPr>
        <w:ind w:left="140" w:right="499"/>
        <w:spacing w:after="0" w:line="292" w:lineRule="auto"/>
        <w:rPr>
          <w:sz w:val="20"/>
          <w:szCs w:val="20"/>
          <w:color w:val="auto"/>
        </w:rPr>
      </w:pPr>
      <w:r>
        <w:rPr>
          <w:rFonts w:ascii="Arial" w:cs="Arial" w:eastAsia="Arial" w:hAnsi="Arial"/>
          <w:sz w:val="16"/>
          <w:szCs w:val="16"/>
          <w:b w:val="1"/>
          <w:bCs w:val="1"/>
          <w:color w:val="auto"/>
        </w:rPr>
        <w:t xml:space="preserve">Prudent Capital Allocation: </w:t>
      </w:r>
      <w:r>
        <w:rPr>
          <w:rFonts w:ascii="Arial" w:cs="Arial" w:eastAsia="Arial" w:hAnsi="Arial"/>
          <w:sz w:val="16"/>
          <w:szCs w:val="16"/>
          <w:color w:val="auto"/>
        </w:rPr>
        <w:t>Share repurchases totaled $1.3 billion, above our guidance, and we paid $847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dividends. Following the FIS Total Issuing Solutions acquisition, we have temporarily paused share repurchases and tuck-in merger and acquisition activity to accelerate de leveraging.</w:t>
      </w:r>
    </w:p>
    <w:p>
      <w:pPr>
        <w:spacing w:after="0" w:line="111" w:lineRule="exact"/>
        <w:rPr>
          <w:sz w:val="20"/>
          <w:szCs w:val="20"/>
          <w:color w:val="auto"/>
        </w:rPr>
      </w:pPr>
    </w:p>
    <w:p>
      <w:pPr>
        <w:ind w:left="140" w:right="179"/>
        <w:spacing w:after="0" w:line="287" w:lineRule="auto"/>
        <w:rPr>
          <w:sz w:val="20"/>
          <w:szCs w:val="20"/>
          <w:color w:val="auto"/>
        </w:rPr>
      </w:pPr>
      <w:r>
        <w:rPr>
          <w:rFonts w:ascii="Arial" w:cs="Arial" w:eastAsia="Arial" w:hAnsi="Arial"/>
          <w:sz w:val="16"/>
          <w:szCs w:val="16"/>
          <w:color w:val="auto"/>
        </w:rPr>
        <w:t>We are proud of the operating and financial performance we continued to achieve and deliver in 2025, in spite of broader industry disruption which has weighed on share price performance. As the system of record at the heart of global financial institutions, we hold the industry’s most comprehensive data set, maintain long-standing and deeply-embedded relationships, and operate a highly specialized regulatory and compliance infrastructure that would be very difficult to replicate — all of which positions us uniquely to deliver differentiated AI solutions.</w:t>
      </w:r>
    </w:p>
    <w:p>
      <w:pPr>
        <w:sectPr>
          <w:pgSz w:w="11900" w:h="16838" w:orient="portrait"/>
          <w:cols w:equalWidth="0" w:num="1">
            <w:col w:w="901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51</w:t>
      </w:r>
    </w:p>
    <w:p>
      <w:pPr>
        <w:sectPr>
          <w:pgSz w:w="11900" w:h="16838" w:orient="portrait"/>
          <w:cols w:equalWidth="0" w:num="1">
            <w:col w:w="9019"/>
          </w:cols>
          <w:pgMar w:left="1440" w:top="657" w:right="1440" w:bottom="1440" w:gutter="0" w:footer="0" w:header="0"/>
          <w:type w:val="continuous"/>
        </w:sectPr>
      </w:pPr>
    </w:p>
    <w:bookmarkStart w:id="54" w:name="page55"/>
    <w:bookmarkEnd w:id="54"/>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Compensation Governance</w:t>
      </w:r>
    </w:p>
    <w:p>
      <w:pPr>
        <w:spacing w:after="0" w:line="107" w:lineRule="exact"/>
        <w:rPr>
          <w:sz w:val="20"/>
          <w:szCs w:val="20"/>
          <w:color w:val="auto"/>
        </w:rPr>
      </w:pPr>
    </w:p>
    <w:p>
      <w:pPr>
        <w:ind w:left="140" w:right="159"/>
        <w:spacing w:after="0" w:line="282" w:lineRule="auto"/>
        <w:rPr>
          <w:sz w:val="20"/>
          <w:szCs w:val="20"/>
          <w:color w:val="auto"/>
        </w:rPr>
      </w:pPr>
      <w:r>
        <w:rPr>
          <w:rFonts w:ascii="Arial" w:cs="Arial" w:eastAsia="Arial" w:hAnsi="Arial"/>
          <w:sz w:val="16"/>
          <w:szCs w:val="16"/>
          <w:color w:val="auto"/>
        </w:rPr>
        <w:t>Our Compensation Committee regularly reviews our executive compensation program and makes adjustments that they believe to be in the best interests of the Company and our shareholders. As part of this process, our Compensation Committee reviews compensation trends, listens to stakeholder feedback and considers what is thought to be current best practices by our independent compensation consultant, with the goal of continually improving our approach to executive compensation.</w:t>
      </w:r>
    </w:p>
    <w:p>
      <w:pPr>
        <w:sectPr>
          <w:pgSz w:w="11900" w:h="16838" w:orient="portrait"/>
          <w:cols w:equalWidth="0" w:num="1">
            <w:col w:w="9019"/>
          </w:cols>
          <w:pgMar w:left="1440" w:top="657" w:right="1440" w:bottom="1440" w:gutter="0" w:footer="0" w:header="0"/>
        </w:sectPr>
      </w:pPr>
    </w:p>
    <w:p>
      <w:pPr>
        <w:spacing w:after="0" w:line="173" w:lineRule="exact"/>
        <w:rPr>
          <w:sz w:val="20"/>
          <w:szCs w:val="20"/>
          <w:color w:val="auto"/>
        </w:rPr>
      </w:pPr>
    </w:p>
    <w:p>
      <w:pPr>
        <w:ind w:left="120"/>
        <w:spacing w:after="0"/>
        <w:rPr>
          <w:sz w:val="20"/>
          <w:szCs w:val="20"/>
          <w:color w:val="auto"/>
        </w:rPr>
      </w:pPr>
      <w:r>
        <w:rPr>
          <w:sz w:val="1"/>
          <w:szCs w:val="1"/>
          <w:color w:val="auto"/>
        </w:rPr>
        <w:drawing>
          <wp:inline distT="0" distB="0" distL="0" distR="0">
            <wp:extent cx="342900" cy="2489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0" cy="248920"/>
                    </a:xfrm>
                    <a:prstGeom prst="rect">
                      <a:avLst/>
                    </a:prstGeom>
                    <a:noFill/>
                    <a:ln>
                      <a:noFill/>
                    </a:ln>
                  </pic:spPr>
                </pic:pic>
              </a:graphicData>
            </a:graphic>
          </wp:inline>
        </w:drawing>
      </w:r>
      <w:r>
        <w:rPr>
          <w:rFonts w:ascii="Arial" w:cs="Arial" w:eastAsia="Arial" w:hAnsi="Arial"/>
          <w:sz w:val="20"/>
          <w:szCs w:val="20"/>
          <w:b w:val="1"/>
          <w:bCs w:val="1"/>
          <w:color w:val="FFFFFF"/>
        </w:rPr>
        <w:t xml:space="preserve"> What We Do</w:t>
      </w:r>
    </w:p>
    <w:p>
      <w:pPr>
        <w:spacing w:after="0" w:line="175" w:lineRule="exact"/>
        <w:rPr>
          <w:sz w:val="20"/>
          <w:szCs w:val="20"/>
          <w:color w:val="auto"/>
        </w:rPr>
      </w:pPr>
    </w:p>
    <w:p>
      <w:pPr>
        <w:ind w:left="380" w:right="1040" w:hanging="214"/>
        <w:spacing w:after="0"/>
        <w:rPr>
          <w:sz w:val="20"/>
          <w:szCs w:val="20"/>
          <w:color w:val="auto"/>
        </w:rPr>
      </w:pPr>
      <w:r>
        <w:rPr>
          <w:sz w:val="1"/>
          <w:szCs w:val="1"/>
          <w:color w:val="auto"/>
        </w:rPr>
        <w:drawing>
          <wp:inline distT="0" distB="0" distL="0" distR="0">
            <wp:extent cx="85725" cy="7747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6"/>
          <w:szCs w:val="16"/>
          <w:color w:val="auto"/>
        </w:rPr>
        <w:t xml:space="preserve"> Deliver the majority of executives’ total compensation in the form of at-risk, performance-based compensation</w:t>
      </w:r>
    </w:p>
    <w:p>
      <w:pPr>
        <w:spacing w:after="0" w:line="55" w:lineRule="exact"/>
        <w:rPr>
          <w:sz w:val="20"/>
          <w:szCs w:val="20"/>
          <w:color w:val="auto"/>
        </w:rPr>
      </w:pPr>
    </w:p>
    <w:p>
      <w:pPr>
        <w:ind w:left="380" w:right="120" w:hanging="214"/>
        <w:spacing w:after="0"/>
        <w:rPr>
          <w:sz w:val="20"/>
          <w:szCs w:val="20"/>
          <w:color w:val="auto"/>
        </w:rPr>
      </w:pPr>
      <w:r>
        <w:rPr>
          <w:sz w:val="1"/>
          <w:szCs w:val="1"/>
          <w:color w:val="auto"/>
        </w:rPr>
        <w:drawing>
          <wp:inline distT="0" distB="0" distL="0" distR="0">
            <wp:extent cx="85725" cy="7747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6"/>
          <w:szCs w:val="16"/>
          <w:color w:val="auto"/>
        </w:rPr>
        <w:t xml:space="preserve"> Utilize performance-based vesting requirements for the majority of our equity awards in the form of performance stock units</w:t>
      </w:r>
    </w:p>
    <w:p>
      <w:pPr>
        <w:spacing w:after="0" w:line="55" w:lineRule="exact"/>
        <w:rPr>
          <w:sz w:val="20"/>
          <w:szCs w:val="20"/>
          <w:color w:val="auto"/>
        </w:rPr>
      </w:pPr>
    </w:p>
    <w:p>
      <w:pPr>
        <w:ind w:left="380" w:hanging="214"/>
        <w:spacing w:after="0"/>
        <w:rPr>
          <w:sz w:val="20"/>
          <w:szCs w:val="20"/>
          <w:color w:val="auto"/>
        </w:rPr>
      </w:pPr>
      <w:r>
        <w:rPr>
          <w:sz w:val="1"/>
          <w:szCs w:val="1"/>
          <w:color w:val="auto"/>
        </w:rPr>
        <w:drawing>
          <wp:inline distT="0" distB="0" distL="0" distR="0">
            <wp:extent cx="85725" cy="7747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6"/>
          <w:szCs w:val="16"/>
          <w:color w:val="auto"/>
        </w:rPr>
        <w:t xml:space="preserve"> Require our executive officers and directors to satisfy rigorous stock ownership guidelines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Maintain a clawback policy</w:t>
      </w:r>
    </w:p>
    <w:p>
      <w:pPr>
        <w:spacing w:after="0" w:line="73" w:lineRule="exact"/>
        <w:rPr>
          <w:sz w:val="20"/>
          <w:szCs w:val="20"/>
          <w:color w:val="auto"/>
        </w:rPr>
      </w:pPr>
    </w:p>
    <w:p>
      <w:pPr>
        <w:ind w:left="380" w:right="80" w:hanging="214"/>
        <w:spacing w:after="0"/>
        <w:rPr>
          <w:sz w:val="20"/>
          <w:szCs w:val="20"/>
          <w:color w:val="auto"/>
        </w:rPr>
      </w:pPr>
      <w:r>
        <w:rPr>
          <w:sz w:val="1"/>
          <w:szCs w:val="1"/>
          <w:color w:val="auto"/>
        </w:rPr>
        <w:drawing>
          <wp:inline distT="0" distB="0" distL="0" distR="0">
            <wp:extent cx="85725" cy="7747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6"/>
          <w:szCs w:val="16"/>
          <w:color w:val="auto"/>
        </w:rPr>
        <w:t xml:space="preserve"> Prohibit executive officers from engaging in hedging transactions in FIS stock or pledging FIS stock</w:t>
      </w:r>
    </w:p>
    <w:p>
      <w:pPr>
        <w:spacing w:after="0" w:line="69" w:lineRule="exact"/>
        <w:rPr>
          <w:sz w:val="20"/>
          <w:szCs w:val="20"/>
          <w:color w:val="auto"/>
        </w:rPr>
      </w:pPr>
    </w:p>
    <w:p>
      <w:pPr>
        <w:ind w:left="380" w:right="1280" w:hanging="214"/>
        <w:spacing w:after="0"/>
        <w:rPr>
          <w:sz w:val="20"/>
          <w:szCs w:val="20"/>
          <w:color w:val="auto"/>
        </w:rPr>
      </w:pPr>
      <w:r>
        <w:rPr>
          <w:sz w:val="1"/>
          <w:szCs w:val="1"/>
          <w:color w:val="auto"/>
        </w:rPr>
        <w:drawing>
          <wp:inline distT="0" distB="0" distL="0" distR="0">
            <wp:extent cx="85725" cy="7747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6"/>
          <w:szCs w:val="16"/>
          <w:color w:val="auto"/>
        </w:rPr>
        <w:t xml:space="preserve"> Conduct annual risk assessment of compensation programs</w:t>
      </w:r>
    </w:p>
    <w:p>
      <w:pPr>
        <w:spacing w:after="0" w:line="55" w:lineRule="exact"/>
        <w:rPr>
          <w:sz w:val="20"/>
          <w:szCs w:val="20"/>
          <w:color w:val="auto"/>
        </w:rPr>
      </w:pPr>
    </w:p>
    <w:p>
      <w:pPr>
        <w:ind w:left="380" w:right="460" w:hanging="214"/>
        <w:spacing w:after="0"/>
        <w:rPr>
          <w:sz w:val="20"/>
          <w:szCs w:val="20"/>
          <w:color w:val="auto"/>
        </w:rPr>
      </w:pPr>
      <w:r>
        <w:rPr>
          <w:sz w:val="1"/>
          <w:szCs w:val="1"/>
          <w:color w:val="auto"/>
        </w:rPr>
        <w:drawing>
          <wp:inline distT="0" distB="0" distL="0" distR="0">
            <wp:extent cx="85725" cy="7747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6"/>
          <w:szCs w:val="16"/>
          <w:color w:val="auto"/>
        </w:rPr>
        <w:t xml:space="preserve"> Market comparison of executive compensation against a relevant peer group</w:t>
      </w:r>
    </w:p>
    <w:p>
      <w:pPr>
        <w:spacing w:after="0" w:line="69" w:lineRule="exact"/>
        <w:rPr>
          <w:sz w:val="20"/>
          <w:szCs w:val="20"/>
          <w:color w:val="auto"/>
        </w:rPr>
      </w:pPr>
    </w:p>
    <w:p>
      <w:pPr>
        <w:ind w:left="380" w:right="240" w:hanging="214"/>
        <w:spacing w:after="0"/>
        <w:rPr>
          <w:sz w:val="20"/>
          <w:szCs w:val="20"/>
          <w:color w:val="auto"/>
        </w:rPr>
      </w:pPr>
      <w:r>
        <w:rPr>
          <w:sz w:val="1"/>
          <w:szCs w:val="1"/>
          <w:color w:val="auto"/>
        </w:rPr>
        <w:drawing>
          <wp:inline distT="0" distB="0" distL="0" distR="0">
            <wp:extent cx="85725" cy="6858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Use of an independent compensation consultant reporting directly to the Compensation Committee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and providing no other services to the Company</w:t>
      </w:r>
    </w:p>
    <w:p>
      <w:pPr>
        <w:spacing w:after="0" w:line="100" w:lineRule="exact"/>
        <w:rPr>
          <w:sz w:val="20"/>
          <w:szCs w:val="20"/>
          <w:color w:val="auto"/>
        </w:rPr>
      </w:pPr>
    </w:p>
    <w:p>
      <w:pPr>
        <w:ind w:left="380" w:right="120" w:hanging="214"/>
        <w:spacing w:after="0"/>
        <w:rPr>
          <w:sz w:val="20"/>
          <w:szCs w:val="20"/>
          <w:color w:val="auto"/>
        </w:rPr>
      </w:pPr>
      <w:r>
        <w:rPr>
          <w:sz w:val="1"/>
          <w:szCs w:val="1"/>
          <w:color w:val="auto"/>
        </w:rPr>
        <w:drawing>
          <wp:inline distT="0" distB="0" distL="0" distR="0">
            <wp:extent cx="85725" cy="6858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Double-trigger vesting of equity awards in the event of a change in control under our long-term</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incentive plan</w:t>
      </w:r>
    </w:p>
    <w:p>
      <w:pPr>
        <w:spacing w:after="0" w:line="86" w:lineRule="exact"/>
        <w:rPr>
          <w:sz w:val="20"/>
          <w:szCs w:val="20"/>
          <w:color w:val="auto"/>
        </w:rPr>
      </w:pPr>
    </w:p>
    <w:p>
      <w:pPr>
        <w:ind w:left="180"/>
        <w:spacing w:after="0"/>
        <w:rPr>
          <w:sz w:val="20"/>
          <w:szCs w:val="20"/>
          <w:color w:val="auto"/>
        </w:rPr>
      </w:pPr>
      <w:r>
        <w:rPr>
          <w:sz w:val="1"/>
          <w:szCs w:val="1"/>
          <w:color w:val="auto"/>
        </w:rPr>
        <w:drawing>
          <wp:inline distT="0" distB="0" distL="0" distR="0">
            <wp:extent cx="85725" cy="7747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6"/>
          <w:szCs w:val="16"/>
          <w:color w:val="auto"/>
        </w:rPr>
        <w:t xml:space="preserve"> Annual say-on-pay vote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sz w:val="1"/>
          <w:szCs w:val="1"/>
          <w:color w:val="auto"/>
        </w:rPr>
        <w:drawing>
          <wp:inline distT="0" distB="0" distL="0" distR="0">
            <wp:extent cx="334010" cy="2489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4010" cy="248920"/>
                    </a:xfrm>
                    <a:prstGeom prst="rect">
                      <a:avLst/>
                    </a:prstGeom>
                    <a:noFill/>
                    <a:ln>
                      <a:noFill/>
                    </a:ln>
                  </pic:spPr>
                </pic:pic>
              </a:graphicData>
            </a:graphic>
          </wp:inline>
        </w:drawing>
      </w:r>
      <w:r>
        <w:rPr>
          <w:rFonts w:ascii="Arial" w:cs="Arial" w:eastAsia="Arial" w:hAnsi="Arial"/>
          <w:sz w:val="20"/>
          <w:szCs w:val="20"/>
          <w:b w:val="1"/>
          <w:bCs w:val="1"/>
          <w:color w:val="auto"/>
        </w:rPr>
        <w:t xml:space="preserve"> What We Do Not Do</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Provide guaranteed short-term incentives</w:t>
      </w:r>
    </w:p>
    <w:p>
      <w:pPr>
        <w:spacing w:after="0" w:line="86" w:lineRule="exact"/>
        <w:rPr>
          <w:sz w:val="20"/>
          <w:szCs w:val="20"/>
          <w:color w:val="auto"/>
        </w:rPr>
      </w:pPr>
    </w:p>
    <w:p>
      <w:pPr>
        <w:jc w:val="both"/>
        <w:ind w:left="240" w:right="559"/>
        <w:spacing w:after="0" w:line="284" w:lineRule="auto"/>
        <w:rPr>
          <w:sz w:val="20"/>
          <w:szCs w:val="20"/>
          <w:color w:val="auto"/>
        </w:rPr>
      </w:pPr>
      <w:r>
        <w:rPr>
          <w:rFonts w:ascii="Arial" w:cs="Arial" w:eastAsia="Arial" w:hAnsi="Arial"/>
          <w:sz w:val="16"/>
          <w:szCs w:val="16"/>
          <w:color w:val="auto"/>
        </w:rPr>
        <w:t>Provide tax gross-ups of payments or perquisites, except in the case of relocation expenses that are generally available to all employees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Provide significant perquisites</w:t>
      </w:r>
    </w:p>
    <w:p>
      <w:pPr>
        <w:spacing w:after="0" w:line="73" w:lineRule="exact"/>
        <w:rPr>
          <w:sz w:val="20"/>
          <w:szCs w:val="20"/>
          <w:color w:val="auto"/>
        </w:rPr>
      </w:pPr>
    </w:p>
    <w:p>
      <w:pPr>
        <w:ind w:left="240" w:right="919"/>
        <w:spacing w:after="0" w:line="304" w:lineRule="auto"/>
        <w:rPr>
          <w:sz w:val="20"/>
          <w:szCs w:val="20"/>
          <w:color w:val="auto"/>
        </w:rPr>
      </w:pPr>
      <w:r>
        <w:rPr>
          <w:rFonts w:ascii="Arial" w:cs="Arial" w:eastAsia="Arial" w:hAnsi="Arial"/>
          <w:sz w:val="16"/>
          <w:szCs w:val="16"/>
          <w:color w:val="auto"/>
        </w:rPr>
        <w:t>Maintain any form of supplemental executive retirement plan (SERP)</w:t>
      </w:r>
    </w:p>
    <w:p>
      <w:pPr>
        <w:spacing w:after="0" w:line="20" w:lineRule="exact"/>
        <w:rPr>
          <w:sz w:val="20"/>
          <w:szCs w:val="20"/>
          <w:color w:val="auto"/>
        </w:rPr>
      </w:pPr>
    </w:p>
    <w:p>
      <w:pPr>
        <w:ind w:left="240" w:right="659"/>
        <w:spacing w:after="0" w:line="286" w:lineRule="auto"/>
        <w:rPr>
          <w:sz w:val="20"/>
          <w:szCs w:val="20"/>
          <w:color w:val="auto"/>
        </w:rPr>
      </w:pPr>
      <w:r>
        <w:rPr>
          <w:rFonts w:ascii="Arial" w:cs="Arial" w:eastAsia="Arial" w:hAnsi="Arial"/>
          <w:sz w:val="16"/>
          <w:szCs w:val="16"/>
          <w:color w:val="auto"/>
        </w:rPr>
        <w:t>Reprice or exchange underwater options without shareholder approval</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Provide excessive severance benefits</w:t>
      </w:r>
    </w:p>
    <w:p>
      <w:pPr>
        <w:spacing w:after="0" w:line="73" w:lineRule="exact"/>
        <w:rPr>
          <w:sz w:val="20"/>
          <w:szCs w:val="20"/>
          <w:color w:val="auto"/>
        </w:rPr>
      </w:pPr>
    </w:p>
    <w:p>
      <w:pPr>
        <w:ind w:left="240" w:right="459"/>
        <w:spacing w:after="0" w:line="304" w:lineRule="auto"/>
        <w:rPr>
          <w:sz w:val="20"/>
          <w:szCs w:val="20"/>
          <w:color w:val="auto"/>
        </w:rPr>
      </w:pPr>
      <w:r>
        <w:rPr>
          <w:rFonts w:ascii="Arial" w:cs="Arial" w:eastAsia="Arial" w:hAnsi="Arial"/>
          <w:sz w:val="16"/>
          <w:szCs w:val="16"/>
          <w:color w:val="auto"/>
        </w:rPr>
        <w:t>Pay dividends or dividend equivalents on unearned equity awards</w:t>
      </w:r>
    </w:p>
    <w:p>
      <w:pPr>
        <w:spacing w:after="0" w:line="20" w:lineRule="exact"/>
        <w:rPr>
          <w:sz w:val="20"/>
          <w:szCs w:val="20"/>
          <w:color w:val="auto"/>
        </w:rPr>
      </w:pPr>
    </w:p>
    <w:p>
      <w:pPr>
        <w:ind w:left="240" w:right="1139"/>
        <w:spacing w:after="0" w:line="286" w:lineRule="auto"/>
        <w:rPr>
          <w:sz w:val="20"/>
          <w:szCs w:val="20"/>
          <w:color w:val="auto"/>
        </w:rPr>
      </w:pPr>
      <w:r>
        <w:rPr>
          <w:rFonts w:ascii="Arial" w:cs="Arial" w:eastAsia="Arial" w:hAnsi="Arial"/>
          <w:sz w:val="16"/>
          <w:szCs w:val="16"/>
          <w:color w:val="auto"/>
        </w:rPr>
        <w:t>Permit hedging, pledging or short sales of our securities</w:t>
      </w:r>
    </w:p>
    <w:p>
      <w:pPr>
        <w:spacing w:after="0" w:line="1956" w:lineRule="exact"/>
        <w:rPr>
          <w:sz w:val="20"/>
          <w:szCs w:val="20"/>
          <w:color w:val="auto"/>
        </w:rPr>
      </w:pPr>
    </w:p>
    <w:p>
      <w:pPr>
        <w:sectPr>
          <w:pgSz w:w="11900" w:h="16838" w:orient="portrait"/>
          <w:cols w:equalWidth="0" w:num="2">
            <w:col w:w="4200" w:space="460"/>
            <w:col w:w="435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hanging="429"/>
        <w:spacing w:after="0"/>
        <w:tabs>
          <w:tab w:leader="none" w:pos="620" w:val="left"/>
        </w:tabs>
        <w:numPr>
          <w:ilvl w:val="0"/>
          <w:numId w:val="77"/>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55" w:name="page56"/>
    <w:bookmarkEnd w:id="55"/>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2025 Say-On-Pay Vote and Shareholder Engagement</w:t>
      </w:r>
    </w:p>
    <w:p>
      <w:pPr>
        <w:spacing w:after="0" w:line="107" w:lineRule="exact"/>
        <w:rPr>
          <w:sz w:val="20"/>
          <w:szCs w:val="20"/>
          <w:color w:val="auto"/>
        </w:rPr>
      </w:pPr>
    </w:p>
    <w:p>
      <w:pPr>
        <w:ind w:left="140" w:right="319"/>
        <w:spacing w:after="0" w:line="277" w:lineRule="auto"/>
        <w:rPr>
          <w:sz w:val="20"/>
          <w:szCs w:val="20"/>
          <w:color w:val="auto"/>
        </w:rPr>
      </w:pPr>
      <w:r>
        <w:rPr>
          <w:rFonts w:ascii="Arial" w:cs="Arial" w:eastAsia="Arial" w:hAnsi="Arial"/>
          <w:sz w:val="16"/>
          <w:szCs w:val="16"/>
          <w:color w:val="auto"/>
        </w:rPr>
        <w:t>At our 2025 Annual Meeting, the advisory say-on-pay proposal received 93.6% support of votes cast, demonstrating the approval of our executive compensation program by our shareholders. We believe that the strong support shown by our shareholders reflects the changes we made to our executive compensation program in response to feedback received during the course of our engagement with shareholders over the past three years.</w:t>
      </w:r>
    </w:p>
    <w:p>
      <w:pPr>
        <w:spacing w:after="0" w:line="69" w:lineRule="exact"/>
        <w:rPr>
          <w:sz w:val="20"/>
          <w:szCs w:val="20"/>
          <w:color w:val="auto"/>
        </w:rPr>
      </w:pPr>
    </w:p>
    <w:p>
      <w:pPr>
        <w:ind w:left="140" w:right="179"/>
        <w:spacing w:after="0" w:line="277" w:lineRule="auto"/>
        <w:rPr>
          <w:sz w:val="20"/>
          <w:szCs w:val="20"/>
          <w:color w:val="auto"/>
        </w:rPr>
      </w:pPr>
      <w:r>
        <w:rPr>
          <w:rFonts w:ascii="Arial" w:cs="Arial" w:eastAsia="Arial" w:hAnsi="Arial"/>
          <w:sz w:val="16"/>
          <w:szCs w:val="16"/>
          <w:color w:val="auto"/>
        </w:rPr>
        <w:t>For our shareholder engagement meetings in early 2026, we offered engagement meetings to shareholders representing collectively more than 40% of our outstanding shares, and members of our management team and our Independent Chair met with all shareholders who accepted our offer to engage. Many of the shareholders to whom we offered engagement meetings replied that they had no concerns or questions that they wanted to discuss.</w:t>
      </w:r>
    </w:p>
    <w:p>
      <w:pPr>
        <w:spacing w:after="0" w:line="69" w:lineRule="exact"/>
        <w:rPr>
          <w:sz w:val="20"/>
          <w:szCs w:val="20"/>
          <w:color w:val="auto"/>
        </w:rPr>
      </w:pPr>
    </w:p>
    <w:p>
      <w:pPr>
        <w:ind w:left="140" w:right="679"/>
        <w:spacing w:after="0" w:line="277" w:lineRule="auto"/>
        <w:rPr>
          <w:sz w:val="20"/>
          <w:szCs w:val="20"/>
          <w:color w:val="auto"/>
        </w:rPr>
      </w:pPr>
      <w:r>
        <w:rPr>
          <w:rFonts w:ascii="Arial" w:cs="Arial" w:eastAsia="Arial" w:hAnsi="Arial"/>
          <w:sz w:val="16"/>
          <w:szCs w:val="16"/>
          <w:color w:val="auto"/>
        </w:rPr>
        <w:t>The executive compensation topics discussed in our meetings included compensation philosophy and structure. Our shareholders continued to be supportive of the structure of our executive compensation program, including the emphasis on performance-based pay, the focus on incentivizing operational excellence and the alignment of compensation outcomes with shareholder returns.</w:t>
      </w:r>
    </w:p>
    <w:p>
      <w:pPr>
        <w:spacing w:after="0" w:line="69" w:lineRule="exact"/>
        <w:rPr>
          <w:sz w:val="20"/>
          <w:szCs w:val="20"/>
          <w:color w:val="auto"/>
        </w:rPr>
      </w:pPr>
    </w:p>
    <w:p>
      <w:pPr>
        <w:ind w:left="140" w:right="179"/>
        <w:spacing w:after="0" w:line="274" w:lineRule="auto"/>
        <w:rPr>
          <w:sz w:val="20"/>
          <w:szCs w:val="20"/>
          <w:color w:val="auto"/>
        </w:rPr>
      </w:pPr>
      <w:r>
        <w:rPr>
          <w:rFonts w:ascii="Arial" w:cs="Arial" w:eastAsia="Arial" w:hAnsi="Arial"/>
          <w:sz w:val="16"/>
          <w:szCs w:val="16"/>
          <w:color w:val="auto"/>
        </w:rPr>
        <w:t>Each year, the Compensation Committee evaluates our program in light of the strategic direction of the Company, market conditions, shareholder views (including the results of our annual say-on-pay vote) and governance considerations, and makes changes deemed appropriate for our business. Accordingly, we will continue to take into account shareholder feedback, input from our independent compensation consultant, and the outcome of future say-on-pay votes when assessing our executive compensation program and policies as discussed in this Compensation Discussion and Analysis.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Compensation Philosophy</w:t>
      </w:r>
    </w:p>
    <w:p>
      <w:pPr>
        <w:spacing w:after="0" w:line="107" w:lineRule="exact"/>
        <w:rPr>
          <w:sz w:val="20"/>
          <w:szCs w:val="20"/>
          <w:color w:val="auto"/>
        </w:rPr>
      </w:pPr>
    </w:p>
    <w:p>
      <w:pPr>
        <w:ind w:left="140" w:right="199"/>
        <w:spacing w:after="0" w:line="277" w:lineRule="auto"/>
        <w:rPr>
          <w:sz w:val="20"/>
          <w:szCs w:val="20"/>
          <w:color w:val="auto"/>
        </w:rPr>
      </w:pPr>
      <w:r>
        <w:rPr>
          <w:rFonts w:ascii="Arial" w:cs="Arial" w:eastAsia="Arial" w:hAnsi="Arial"/>
          <w:sz w:val="16"/>
          <w:szCs w:val="16"/>
          <w:color w:val="auto"/>
        </w:rPr>
        <w:t>The primary goal of our executive compensation program is to drive continued profitable growth and successful execution of our business objectives, thereby creating value for our shareholders. Our compensation program is grounded on the concept of paying for performance and intended to foster a high-performance culture, aligning the interests of our executive team with those of our shareholders.</w:t>
      </w:r>
    </w:p>
    <w:p>
      <w:pPr>
        <w:spacing w:after="0" w:line="69" w:lineRule="exact"/>
        <w:rPr>
          <w:sz w:val="20"/>
          <w:szCs w:val="20"/>
          <w:color w:val="auto"/>
        </w:rPr>
      </w:pPr>
    </w:p>
    <w:p>
      <w:pPr>
        <w:ind w:left="140" w:right="259"/>
        <w:spacing w:after="0" w:line="270" w:lineRule="auto"/>
        <w:rPr>
          <w:sz w:val="20"/>
          <w:szCs w:val="20"/>
          <w:color w:val="auto"/>
        </w:rPr>
      </w:pPr>
      <w:r>
        <w:rPr>
          <w:rFonts w:ascii="Arial" w:cs="Arial" w:eastAsia="Arial" w:hAnsi="Arial"/>
          <w:sz w:val="16"/>
          <w:szCs w:val="16"/>
          <w:color w:val="auto"/>
        </w:rPr>
        <w:t>Our compensation program is designed to attract and retain high-performing executives and key employees, as there is significant competition in our industry for talent. We seek to accomplish these objectives by providing our executives with total target compensation that is competitive relative to the compensation paid to similarly situated executives at similarly sized companies. We believe that this is critical to our efforts to motivate, reward and retain those individuals with the leadership abilities and skills necessary for achieving our objectives: delivering value to our clients, investing in and retaining our employees, supporting the communities in which we work, dealing fairly and ethically with our suppliers, and generating long-term value for shareholders.</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Compensation Objectives</w:t>
      </w:r>
    </w:p>
    <w:p>
      <w:pPr>
        <w:spacing w:after="0" w:line="232" w:lineRule="exact"/>
        <w:rPr>
          <w:sz w:val="20"/>
          <w:szCs w:val="20"/>
          <w:color w:val="auto"/>
        </w:rPr>
      </w:pPr>
    </w:p>
    <w:p>
      <w:pPr>
        <w:ind w:left="140" w:right="959"/>
        <w:spacing w:after="0" w:line="286" w:lineRule="auto"/>
        <w:rPr>
          <w:sz w:val="20"/>
          <w:szCs w:val="20"/>
          <w:color w:val="auto"/>
        </w:rPr>
      </w:pPr>
      <w:r>
        <w:rPr>
          <w:rFonts w:ascii="Arial" w:cs="Arial" w:eastAsia="Arial" w:hAnsi="Arial"/>
          <w:sz w:val="25"/>
          <w:szCs w:val="25"/>
          <w:b w:val="1"/>
          <w:bCs w:val="1"/>
          <w:color w:val="431C5B"/>
        </w:rPr>
        <w:t>Our Compensation Program Supports Our Corporate Strategy and Business Objectives</w:t>
      </w:r>
    </w:p>
    <w:p>
      <w:pPr>
        <w:ind w:left="140" w:right="199"/>
        <w:spacing w:after="0" w:line="321" w:lineRule="auto"/>
        <w:rPr>
          <w:sz w:val="20"/>
          <w:szCs w:val="20"/>
          <w:color w:val="auto"/>
        </w:rPr>
      </w:pPr>
      <w:r>
        <w:rPr>
          <w:rFonts w:ascii="Arial" w:cs="Arial" w:eastAsia="Arial" w:hAnsi="Arial"/>
          <w:sz w:val="16"/>
          <w:szCs w:val="16"/>
          <w:color w:val="auto"/>
        </w:rPr>
        <w:t>The primary goal of our executive compensation program is to drive continued profitable growth and successful execution of our business objectives and thereby create value for our shareholders. We seek to achieve this goal by:</w:t>
      </w:r>
    </w:p>
    <w:p>
      <w:pPr>
        <w:spacing w:after="0" w:line="34" w:lineRule="exact"/>
        <w:rPr>
          <w:sz w:val="20"/>
          <w:szCs w:val="20"/>
          <w:color w:val="auto"/>
        </w:rPr>
      </w:pPr>
    </w:p>
    <w:p>
      <w:pPr>
        <w:ind w:left="320" w:right="159" w:hanging="190"/>
        <w:spacing w:after="0" w:line="299" w:lineRule="auto"/>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Tying a significant majority of our NEOs’ compensation to our corporate financial performance and the creation of shareholder value. In 2025, 94.5% of the CEO's total target compensation (and 87.4% of the compensation of the other four NEOs on average) was tied to corporate financial performance and the creation of shareholder value;</w:t>
      </w:r>
    </w:p>
    <w:p>
      <w:pPr>
        <w:ind w:left="320" w:right="199" w:hanging="190"/>
        <w:spacing w:after="0" w:line="308" w:lineRule="auto"/>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Structuring our performance-based programs to focus our NEOs on attaining key goals that are designed to be aligned with and support our strategic business objectives, which in turn drive shareholder value;</w:t>
      </w:r>
    </w:p>
    <w:p>
      <w:pPr>
        <w:ind w:left="320" w:right="459" w:hanging="190"/>
        <w:spacing w:after="0" w:line="316" w:lineRule="auto"/>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Directly aligning the interests of our executive officers and shareholders by requiring that our executive officers own meaningful amounts of FIS stock;</w:t>
      </w:r>
    </w:p>
    <w:p>
      <w:pPr>
        <w:spacing w:after="0" w:line="1" w:lineRule="exact"/>
        <w:rPr>
          <w:rFonts w:ascii="Arial" w:cs="Arial" w:eastAsia="Arial" w:hAnsi="Arial"/>
          <w:sz w:val="16"/>
          <w:szCs w:val="16"/>
          <w:color w:val="auto"/>
        </w:rPr>
      </w:pPr>
    </w:p>
    <w:p>
      <w:pPr>
        <w:ind w:left="320" w:right="499" w:hanging="190"/>
        <w:spacing w:after="0" w:line="304" w:lineRule="auto"/>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Recognizing our executives’ leadership abilities, scope of responsibilities, experience, effectiveness, and individual achievements; and</w:t>
      </w:r>
    </w:p>
    <w:p>
      <w:pPr>
        <w:spacing w:after="0" w:line="6" w:lineRule="exact"/>
        <w:rPr>
          <w:rFonts w:ascii="Arial" w:cs="Arial" w:eastAsia="Arial" w:hAnsi="Arial"/>
          <w:sz w:val="16"/>
          <w:szCs w:val="16"/>
          <w:color w:val="auto"/>
        </w:rPr>
      </w:pPr>
    </w:p>
    <w:p>
      <w:pPr>
        <w:ind w:left="320" w:right="299" w:hanging="190"/>
        <w:spacing w:after="0" w:line="304" w:lineRule="auto"/>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Attracting, motivating, and retaining a highly qualified and effective global management team that can deliver superior performance and build long-term shareholder value.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53</w:t>
      </w:r>
    </w:p>
    <w:p>
      <w:pPr>
        <w:sectPr>
          <w:pgSz w:w="11900" w:h="16838" w:orient="portrait"/>
          <w:cols w:equalWidth="0" w:num="1">
            <w:col w:w="9019"/>
          </w:cols>
          <w:pgMar w:left="1440" w:top="657" w:right="1440" w:bottom="1440" w:gutter="0" w:footer="0" w:header="0"/>
          <w:type w:val="continuous"/>
        </w:sectPr>
      </w:pPr>
    </w:p>
    <w:bookmarkStart w:id="56" w:name="page57"/>
    <w:bookmarkEnd w:id="56"/>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Establishing Executive Compensation Levels</w:t>
      </w:r>
    </w:p>
    <w:p>
      <w:pPr>
        <w:spacing w:after="0" w:line="107" w:lineRule="exact"/>
        <w:rPr>
          <w:sz w:val="20"/>
          <w:szCs w:val="20"/>
          <w:color w:val="auto"/>
        </w:rPr>
      </w:pPr>
    </w:p>
    <w:p>
      <w:pPr>
        <w:ind w:left="140" w:right="199"/>
        <w:spacing w:after="0" w:line="282" w:lineRule="auto"/>
        <w:rPr>
          <w:sz w:val="20"/>
          <w:szCs w:val="20"/>
          <w:color w:val="auto"/>
        </w:rPr>
      </w:pPr>
      <w:r>
        <w:rPr>
          <w:rFonts w:ascii="Arial" w:cs="Arial" w:eastAsia="Arial" w:hAnsi="Arial"/>
          <w:sz w:val="16"/>
          <w:szCs w:val="16"/>
          <w:color w:val="auto"/>
        </w:rPr>
        <w:t>We operate in a highly competitive industry and compete with our peers and competitors to attract and retain highly skilled executives within that industry. To attract and retain talented executives with the leadership abilities and skills deemed necessary to build long-term shareholder value, motivate our executives to perform at a high level and reward outstanding achievement, our Compensation Committee sets total compensation at levels it determines to be competitive in our market.</w:t>
      </w:r>
    </w:p>
    <w:p>
      <w:pPr>
        <w:spacing w:after="0" w:line="200" w:lineRule="exact"/>
        <w:rPr>
          <w:sz w:val="20"/>
          <w:szCs w:val="20"/>
          <w:color w:val="auto"/>
        </w:rPr>
      </w:pPr>
    </w:p>
    <w:p>
      <w:pPr>
        <w:spacing w:after="0" w:line="204" w:lineRule="exact"/>
        <w:rPr>
          <w:sz w:val="20"/>
          <w:szCs w:val="20"/>
          <w:color w:val="auto"/>
        </w:rPr>
      </w:pPr>
    </w:p>
    <w:p>
      <w:pPr>
        <w:ind w:left="360" w:right="359"/>
        <w:spacing w:after="0" w:line="306" w:lineRule="auto"/>
        <w:rPr>
          <w:sz w:val="20"/>
          <w:szCs w:val="20"/>
          <w:color w:val="auto"/>
        </w:rPr>
      </w:pPr>
      <w:r>
        <w:rPr>
          <w:rFonts w:ascii="Arial" w:cs="Arial" w:eastAsia="Arial" w:hAnsi="Arial"/>
          <w:sz w:val="16"/>
          <w:szCs w:val="16"/>
          <w:b w:val="1"/>
          <w:bCs w:val="1"/>
          <w:color w:val="auto"/>
        </w:rPr>
        <w:t>When determining the overall compensation of our NEOs, including base salaries and annual and long-term incentive amounts, our Compensation Committee considers a number of important qualitative and quantitative factors, including:</w:t>
      </w:r>
    </w:p>
    <w:p>
      <w:pPr>
        <w:spacing w:after="0" w:line="376" w:lineRule="exact"/>
        <w:rPr>
          <w:sz w:val="20"/>
          <w:szCs w:val="20"/>
          <w:color w:val="auto"/>
        </w:rPr>
      </w:pPr>
    </w:p>
    <w:p>
      <w:pPr>
        <w:ind w:left="320" w:right="779" w:hanging="190"/>
        <w:spacing w:after="0" w:line="316" w:lineRule="auto"/>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NEO’s experience, knowledge, skills, level of responsibility and potential to influence our performance and future success;</w:t>
      </w:r>
    </w:p>
    <w:p>
      <w:pPr>
        <w:spacing w:after="0" w:line="1" w:lineRule="exact"/>
        <w:rPr>
          <w:rFonts w:ascii="Arial" w:cs="Arial" w:eastAsia="Arial" w:hAnsi="Arial"/>
          <w:sz w:val="16"/>
          <w:szCs w:val="16"/>
          <w:color w:val="auto"/>
        </w:rPr>
      </w:pPr>
    </w:p>
    <w:p>
      <w:pPr>
        <w:ind w:left="320" w:hanging="190"/>
        <w:spacing w:after="0"/>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Our financial performance;</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NEO’s current base salary and recent annual and long-term incentive awards;</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business environment and our business objectives and strategy;</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need to retain and motivate our NEOs;</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Corporate governance, shareholder input and regulatory factors related to executive compensation; and</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Marketplace compensation levels and practices.</w:t>
      </w:r>
    </w:p>
    <w:p>
      <w:pPr>
        <w:spacing w:after="0" w:line="181" w:lineRule="exact"/>
        <w:rPr>
          <w:sz w:val="20"/>
          <w:szCs w:val="20"/>
          <w:color w:val="auto"/>
        </w:rPr>
      </w:pPr>
    </w:p>
    <w:p>
      <w:pPr>
        <w:ind w:left="140" w:right="239"/>
        <w:spacing w:after="0" w:line="292" w:lineRule="auto"/>
        <w:rPr>
          <w:sz w:val="20"/>
          <w:szCs w:val="20"/>
          <w:color w:val="auto"/>
        </w:rPr>
      </w:pPr>
      <w:r>
        <w:rPr>
          <w:rFonts w:ascii="Arial" w:cs="Arial" w:eastAsia="Arial" w:hAnsi="Arial"/>
          <w:sz w:val="16"/>
          <w:szCs w:val="16"/>
          <w:color w:val="auto"/>
        </w:rPr>
        <w:t>The compensation decisions are not formulaic, and the members of our Compensation Committee did not assign precise weights to the factors listed above. The Compensation Committee utilized their individual and collective business judgment to review, assess, and approve compensation for our NEOs.</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Use of Peer Group Data</w:t>
      </w:r>
    </w:p>
    <w:p>
      <w:pPr>
        <w:spacing w:after="0" w:line="87" w:lineRule="exact"/>
        <w:rPr>
          <w:sz w:val="20"/>
          <w:szCs w:val="20"/>
          <w:color w:val="auto"/>
        </w:rPr>
      </w:pPr>
    </w:p>
    <w:p>
      <w:pPr>
        <w:ind w:left="140" w:right="139"/>
        <w:spacing w:after="0" w:line="282" w:lineRule="auto"/>
        <w:rPr>
          <w:sz w:val="20"/>
          <w:szCs w:val="20"/>
          <w:color w:val="auto"/>
        </w:rPr>
      </w:pPr>
      <w:r>
        <w:rPr>
          <w:rFonts w:ascii="Arial" w:cs="Arial" w:eastAsia="Arial" w:hAnsi="Arial"/>
          <w:sz w:val="16"/>
          <w:szCs w:val="16"/>
          <w:color w:val="auto"/>
        </w:rPr>
        <w:t>To support its review of our executive compensation and benefit programs for 2025, the Compensation Committee engaged Meridian, an independent compensation consultant, to conduct a marketplace review of the compensation we pay to our executive officers. Meridian gathered marketplace compensation data on total compensation, which consisted of annual salary, annual incentives, long-term incentives, executive benefits, executive stock ownership levels, as well as overhang and dilution from the equity incentive plan, pay mix and other key statistics. The marketplace compensation data is an important element in the decisions of our Compensation Committee, but our Compensation Committee ultimately made decisions based on all of the factors described above rather than just relying on peer data.</w:t>
      </w:r>
    </w:p>
    <w:p>
      <w:pPr>
        <w:spacing w:after="0" w:line="134" w:lineRule="exact"/>
        <w:rPr>
          <w:sz w:val="20"/>
          <w:szCs w:val="20"/>
          <w:color w:val="auto"/>
        </w:rPr>
      </w:pPr>
    </w:p>
    <w:p>
      <w:pPr>
        <w:ind w:left="140" w:right="139"/>
        <w:spacing w:after="0" w:line="278" w:lineRule="auto"/>
        <w:rPr>
          <w:sz w:val="20"/>
          <w:szCs w:val="20"/>
          <w:color w:val="auto"/>
        </w:rPr>
      </w:pPr>
      <w:r>
        <w:rPr>
          <w:rFonts w:ascii="Arial" w:cs="Arial" w:eastAsia="Arial" w:hAnsi="Arial"/>
          <w:sz w:val="16"/>
          <w:szCs w:val="16"/>
          <w:color w:val="auto"/>
        </w:rPr>
        <w:t>Meridian assisted our Compensation Committee in evaluating the group of companies, which we refer to as our "peer group," which the Compensation Committee uses as a source of marketplace compensation information to assist the Compensation Committee in evaluating the Company’s executive compensation program. The peer group that was used to assist the Compensation Committee in evaluating our 2025 compensation program was selected in late 2024 to include companies with similarities to FIS based on an average revenue and market capitalization range, industry focus (based on Global Industry Classification Standard (“GICS”) Code), nature and complexity of operations, including international focus, as well as companies that compete with us for business and/or executive talent. The Compensation Committee generally screened for companies with revenue in the range of one-third to three times our projected revenue and market capitalization in the range of one-third to three times our market capitalization, but was willing to consider companies falling outside this range if they shared other similarities with FIS.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20" w:hanging="429"/>
        <w:spacing w:after="0"/>
        <w:tabs>
          <w:tab w:leader="none" w:pos="620" w:val="left"/>
        </w:tabs>
        <w:numPr>
          <w:ilvl w:val="0"/>
          <w:numId w:val="80"/>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57" w:name="page58"/>
    <w:bookmarkEnd w:id="57"/>
    <w:p>
      <w:pPr>
        <w:ind w:left="6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peer group selected by the Compensation Committee in late 2024 consisted of the following companies:</w:t>
      </w: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431C5B"/>
              </w:rPr>
              <w:t>Revenue</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7"/>
        </w:trPr>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431C5B"/>
              </w:rPr>
              <w:t>Company</w:t>
            </w:r>
          </w:p>
        </w:tc>
        <w:tc>
          <w:tcPr>
            <w:tcW w:w="3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431C5B"/>
              </w:rPr>
              <w:t>GICS Sub-Industry</w:t>
            </w:r>
          </w:p>
        </w:tc>
        <w:tc>
          <w:tcPr>
            <w:tcW w:w="1240" w:type="dxa"/>
            <w:vAlign w:val="bottom"/>
            <w:tcBorders>
              <w:bottom w:val="single" w:sz="8" w:color="auto"/>
            </w:tcBorders>
            <w:gridSpan w:val="2"/>
          </w:tcPr>
          <w:p>
            <w:pPr>
              <w:jc w:val="right"/>
              <w:ind w:right="108"/>
              <w:spacing w:after="0" w:line="188" w:lineRule="exact"/>
              <w:rPr>
                <w:sz w:val="20"/>
                <w:szCs w:val="20"/>
                <w:color w:val="auto"/>
              </w:rPr>
            </w:pPr>
            <w:r>
              <w:rPr>
                <w:rFonts w:ascii="Arial" w:cs="Arial" w:eastAsia="Arial" w:hAnsi="Arial"/>
                <w:sz w:val="14"/>
                <w:szCs w:val="14"/>
                <w:b w:val="1"/>
                <w:bCs w:val="1"/>
                <w:color w:val="431C5B"/>
              </w:rPr>
              <w:t>(LTM)</w:t>
            </w:r>
            <w:r>
              <w:rPr>
                <w:rFonts w:ascii="Arial" w:cs="Arial" w:eastAsia="Arial" w:hAnsi="Arial"/>
                <w:sz w:val="18"/>
                <w:szCs w:val="18"/>
                <w:b w:val="1"/>
                <w:bCs w:val="1"/>
                <w:color w:val="431C5B"/>
                <w:vertAlign w:val="superscript"/>
              </w:rPr>
              <w:t>(1)</w:t>
            </w:r>
          </w:p>
        </w:tc>
        <w:tc>
          <w:tcPr>
            <w:tcW w:w="1120" w:type="dxa"/>
            <w:vAlign w:val="bottom"/>
            <w:tcBorders>
              <w:bottom w:val="single" w:sz="8" w:color="auto"/>
            </w:tcBorders>
            <w:gridSpan w:val="2"/>
          </w:tcPr>
          <w:p>
            <w:pPr>
              <w:jc w:val="right"/>
              <w:spacing w:after="0" w:line="188" w:lineRule="exact"/>
              <w:rPr>
                <w:sz w:val="20"/>
                <w:szCs w:val="20"/>
                <w:color w:val="auto"/>
              </w:rPr>
            </w:pPr>
            <w:r>
              <w:rPr>
                <w:rFonts w:ascii="Arial" w:cs="Arial" w:eastAsia="Arial" w:hAnsi="Arial"/>
                <w:sz w:val="14"/>
                <w:szCs w:val="14"/>
                <w:b w:val="1"/>
                <w:bCs w:val="1"/>
                <w:color w:val="431C5B"/>
              </w:rPr>
              <w:t>Market Cap</w:t>
            </w:r>
            <w:r>
              <w:rPr>
                <w:rFonts w:ascii="Arial" w:cs="Arial" w:eastAsia="Arial" w:hAnsi="Arial"/>
                <w:sz w:val="18"/>
                <w:szCs w:val="18"/>
                <w:b w:val="1"/>
                <w:bCs w:val="1"/>
                <w:color w:val="431C5B"/>
                <w:vertAlign w:val="superscript"/>
              </w:rPr>
              <w:t>(1)</w:t>
            </w:r>
          </w:p>
        </w:tc>
      </w:tr>
      <w:tr>
        <w:trPr>
          <w:trHeight w:val="242"/>
        </w:trPr>
        <w:tc>
          <w:tcPr>
            <w:tcW w:w="286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color w:val="auto"/>
              </w:rPr>
              <w:t>Automatic Data Processing, Inc.</w:t>
            </w:r>
          </w:p>
        </w:tc>
        <w:tc>
          <w:tcPr>
            <w:tcW w:w="3540" w:type="dxa"/>
            <w:vAlign w:val="bottom"/>
            <w:tcBorders>
              <w:bottom w:val="single" w:sz="8" w:color="EDFAEC"/>
            </w:tcBorders>
            <w:shd w:val="clear" w:color="auto" w:fill="EDFAEC"/>
          </w:tcPr>
          <w:p>
            <w:pPr>
              <w:ind w:left="100"/>
              <w:spacing w:after="0"/>
              <w:rPr>
                <w:sz w:val="20"/>
                <w:szCs w:val="20"/>
                <w:color w:val="auto"/>
              </w:rPr>
            </w:pPr>
            <w:r>
              <w:rPr>
                <w:rFonts w:ascii="Arial" w:cs="Arial" w:eastAsia="Arial" w:hAnsi="Arial"/>
                <w:sz w:val="14"/>
                <w:szCs w:val="14"/>
                <w:color w:val="auto"/>
              </w:rPr>
              <w:t>Human Resource and Employment Services</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DFAEC"/>
            </w:tcBorders>
            <w:shd w:val="clear" w:color="auto" w:fill="EDFAEC"/>
          </w:tcPr>
          <w:p>
            <w:pPr>
              <w:jc w:val="right"/>
              <w:ind w:right="128"/>
              <w:spacing w:after="0"/>
              <w:rPr>
                <w:sz w:val="20"/>
                <w:szCs w:val="20"/>
                <w:color w:val="auto"/>
              </w:rPr>
            </w:pPr>
            <w:r>
              <w:rPr>
                <w:rFonts w:ascii="Arial" w:cs="Arial" w:eastAsia="Arial" w:hAnsi="Arial"/>
                <w:sz w:val="14"/>
                <w:szCs w:val="14"/>
                <w:color w:val="auto"/>
                <w:w w:val="97"/>
              </w:rPr>
              <w:t>19,203</w:t>
            </w:r>
          </w:p>
        </w:tc>
        <w:tc>
          <w:tcPr>
            <w:tcW w:w="5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DFAEC"/>
            </w:tcBorders>
            <w:shd w:val="clear" w:color="auto" w:fill="EDFAEC"/>
          </w:tcPr>
          <w:p>
            <w:pPr>
              <w:jc w:val="right"/>
              <w:ind w:right="8"/>
              <w:spacing w:after="0"/>
              <w:rPr>
                <w:sz w:val="20"/>
                <w:szCs w:val="20"/>
                <w:color w:val="auto"/>
              </w:rPr>
            </w:pPr>
            <w:r>
              <w:rPr>
                <w:rFonts w:ascii="Arial" w:cs="Arial" w:eastAsia="Arial" w:hAnsi="Arial"/>
                <w:sz w:val="14"/>
                <w:szCs w:val="14"/>
                <w:color w:val="auto"/>
                <w:w w:val="98"/>
              </w:rPr>
              <w:t>112,858</w:t>
            </w:r>
          </w:p>
        </w:tc>
      </w:tr>
      <w:tr>
        <w:trPr>
          <w:trHeight w:val="215"/>
        </w:trPr>
        <w:tc>
          <w:tcPr>
            <w:tcW w:w="2860" w:type="dxa"/>
            <w:vAlign w:val="bottom"/>
            <w:tcBorders>
              <w:top w:val="single" w:sz="8" w:color="E6E6E6"/>
            </w:tcBorders>
          </w:tcPr>
          <w:p>
            <w:pPr>
              <w:ind w:left="80"/>
              <w:spacing w:after="0"/>
              <w:rPr>
                <w:sz w:val="20"/>
                <w:szCs w:val="20"/>
                <w:color w:val="auto"/>
              </w:rPr>
            </w:pPr>
            <w:r>
              <w:rPr>
                <w:rFonts w:ascii="Arial" w:cs="Arial" w:eastAsia="Arial" w:hAnsi="Arial"/>
                <w:sz w:val="14"/>
                <w:szCs w:val="14"/>
                <w:color w:val="auto"/>
              </w:rPr>
              <w:t>Block, Inc.</w:t>
            </w:r>
          </w:p>
        </w:tc>
        <w:tc>
          <w:tcPr>
            <w:tcW w:w="3540" w:type="dxa"/>
            <w:vAlign w:val="bottom"/>
            <w:tcBorders>
              <w:top w:val="single" w:sz="8" w:color="E6E6E6"/>
            </w:tcBorders>
          </w:tcPr>
          <w:p>
            <w:pPr>
              <w:ind w:left="100"/>
              <w:spacing w:after="0"/>
              <w:rPr>
                <w:sz w:val="20"/>
                <w:szCs w:val="20"/>
                <w:color w:val="auto"/>
              </w:rPr>
            </w:pPr>
            <w:r>
              <w:rPr>
                <w:rFonts w:ascii="Arial" w:cs="Arial" w:eastAsia="Arial" w:hAnsi="Arial"/>
                <w:sz w:val="14"/>
                <w:szCs w:val="14"/>
                <w:color w:val="auto"/>
              </w:rPr>
              <w:t>Transaction and Payment Processing Services</w:t>
            </w:r>
          </w:p>
        </w:tc>
        <w:tc>
          <w:tcPr>
            <w:tcW w:w="60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E6E6E6"/>
            </w:tcBorders>
          </w:tcPr>
          <w:p>
            <w:pPr>
              <w:jc w:val="right"/>
              <w:ind w:right="128"/>
              <w:spacing w:after="0"/>
              <w:rPr>
                <w:sz w:val="20"/>
                <w:szCs w:val="20"/>
                <w:color w:val="auto"/>
              </w:rPr>
            </w:pPr>
            <w:r>
              <w:rPr>
                <w:rFonts w:ascii="Arial" w:cs="Arial" w:eastAsia="Arial" w:hAnsi="Arial"/>
                <w:sz w:val="14"/>
                <w:szCs w:val="14"/>
                <w:color w:val="auto"/>
                <w:w w:val="97"/>
              </w:rPr>
              <w:t>25,503</w:t>
            </w:r>
          </w:p>
        </w:tc>
        <w:tc>
          <w:tcPr>
            <w:tcW w:w="52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41,328</w:t>
            </w:r>
          </w:p>
        </w:tc>
      </w:tr>
      <w:tr>
        <w:trPr>
          <w:trHeight w:val="22"/>
        </w:trPr>
        <w:tc>
          <w:tcPr>
            <w:tcW w:w="2860" w:type="dxa"/>
            <w:vAlign w:val="bottom"/>
            <w:tcBorders>
              <w:bottom w:val="single" w:sz="8" w:color="E6E6E6"/>
            </w:tcBorders>
          </w:tcPr>
          <w:p>
            <w:pPr>
              <w:spacing w:after="0" w:line="20" w:lineRule="exact"/>
              <w:rPr>
                <w:sz w:val="1"/>
                <w:szCs w:val="1"/>
                <w:color w:val="auto"/>
              </w:rPr>
            </w:pPr>
          </w:p>
        </w:tc>
        <w:tc>
          <w:tcPr>
            <w:tcW w:w="3540" w:type="dxa"/>
            <w:vAlign w:val="bottom"/>
            <w:tcBorders>
              <w:bottom w:val="single" w:sz="8" w:color="E6E6E6"/>
            </w:tcBorders>
          </w:tcPr>
          <w:p>
            <w:pPr>
              <w:spacing w:after="0" w:line="20" w:lineRule="exact"/>
              <w:rPr>
                <w:sz w:val="1"/>
                <w:szCs w:val="1"/>
                <w:color w:val="auto"/>
              </w:rPr>
            </w:pPr>
          </w:p>
        </w:tc>
        <w:tc>
          <w:tcPr>
            <w:tcW w:w="600" w:type="dxa"/>
            <w:vAlign w:val="bottom"/>
            <w:tcBorders>
              <w:bottom w:val="single" w:sz="8" w:color="E6E6E6"/>
            </w:tcBorders>
          </w:tcPr>
          <w:p>
            <w:pPr>
              <w:spacing w:after="0" w:line="20" w:lineRule="exact"/>
              <w:rPr>
                <w:sz w:val="1"/>
                <w:szCs w:val="1"/>
                <w:color w:val="auto"/>
              </w:rPr>
            </w:pPr>
          </w:p>
        </w:tc>
        <w:tc>
          <w:tcPr>
            <w:tcW w:w="640" w:type="dxa"/>
            <w:vAlign w:val="bottom"/>
            <w:tcBorders>
              <w:bottom w:val="single" w:sz="8" w:color="E6E6E6"/>
            </w:tcBorders>
          </w:tcPr>
          <w:p>
            <w:pPr>
              <w:spacing w:after="0" w:line="20" w:lineRule="exact"/>
              <w:rPr>
                <w:sz w:val="1"/>
                <w:szCs w:val="1"/>
                <w:color w:val="auto"/>
              </w:rPr>
            </w:pPr>
          </w:p>
        </w:tc>
        <w:tc>
          <w:tcPr>
            <w:tcW w:w="520" w:type="dxa"/>
            <w:vAlign w:val="bottom"/>
            <w:tcBorders>
              <w:bottom w:val="single" w:sz="8" w:color="E6E6E6"/>
            </w:tcBorders>
          </w:tcPr>
          <w:p>
            <w:pPr>
              <w:spacing w:after="0" w:line="20" w:lineRule="exact"/>
              <w:rPr>
                <w:sz w:val="1"/>
                <w:szCs w:val="1"/>
                <w:color w:val="auto"/>
              </w:rPr>
            </w:pPr>
          </w:p>
        </w:tc>
        <w:tc>
          <w:tcPr>
            <w:tcW w:w="600" w:type="dxa"/>
            <w:vAlign w:val="bottom"/>
            <w:tcBorders>
              <w:bottom w:val="single" w:sz="8" w:color="E6E6E6"/>
            </w:tcBorders>
          </w:tcPr>
          <w:p>
            <w:pPr>
              <w:spacing w:after="0" w:line="20" w:lineRule="exact"/>
              <w:rPr>
                <w:sz w:val="1"/>
                <w:szCs w:val="1"/>
                <w:color w:val="auto"/>
              </w:rPr>
            </w:pPr>
          </w:p>
        </w:tc>
      </w:tr>
      <w:tr>
        <w:trPr>
          <w:trHeight w:val="242"/>
        </w:trPr>
        <w:tc>
          <w:tcPr>
            <w:tcW w:w="286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color w:val="auto"/>
              </w:rPr>
              <w:t>Broadridge Financial Solutions, Inc.</w:t>
            </w:r>
          </w:p>
        </w:tc>
        <w:tc>
          <w:tcPr>
            <w:tcW w:w="3540" w:type="dxa"/>
            <w:vAlign w:val="bottom"/>
            <w:tcBorders>
              <w:bottom w:val="single" w:sz="8" w:color="EDFAEC"/>
            </w:tcBorders>
            <w:shd w:val="clear" w:color="auto" w:fill="EDFAEC"/>
          </w:tcPr>
          <w:p>
            <w:pPr>
              <w:ind w:left="100"/>
              <w:spacing w:after="0"/>
              <w:rPr>
                <w:sz w:val="20"/>
                <w:szCs w:val="20"/>
                <w:color w:val="auto"/>
              </w:rPr>
            </w:pPr>
            <w:r>
              <w:rPr>
                <w:rFonts w:ascii="Arial" w:cs="Arial" w:eastAsia="Arial" w:hAnsi="Arial"/>
                <w:sz w:val="14"/>
                <w:szCs w:val="14"/>
                <w:color w:val="auto"/>
              </w:rPr>
              <w:t>Data Processing and Outsourced Services</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DFAEC"/>
            </w:tcBorders>
            <w:shd w:val="clear" w:color="auto" w:fill="EDFAEC"/>
          </w:tcPr>
          <w:p>
            <w:pPr>
              <w:jc w:val="right"/>
              <w:ind w:right="128"/>
              <w:spacing w:after="0"/>
              <w:rPr>
                <w:sz w:val="20"/>
                <w:szCs w:val="20"/>
                <w:color w:val="auto"/>
              </w:rPr>
            </w:pPr>
            <w:r>
              <w:rPr>
                <w:rFonts w:ascii="Arial" w:cs="Arial" w:eastAsia="Arial" w:hAnsi="Arial"/>
                <w:sz w:val="14"/>
                <w:szCs w:val="14"/>
                <w:color w:val="auto"/>
              </w:rPr>
              <w:t>6,057</w:t>
            </w:r>
          </w:p>
        </w:tc>
        <w:tc>
          <w:tcPr>
            <w:tcW w:w="5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25,096</w:t>
            </w:r>
          </w:p>
        </w:tc>
      </w:tr>
      <w:tr>
        <w:trPr>
          <w:trHeight w:val="196"/>
        </w:trPr>
        <w:tc>
          <w:tcPr>
            <w:tcW w:w="2860" w:type="dxa"/>
            <w:vAlign w:val="bottom"/>
            <w:tcBorders>
              <w:top w:val="single" w:sz="8" w:color="E6E6E6"/>
              <w:bottom w:val="single" w:sz="8" w:color="E6E6E6"/>
            </w:tcBorders>
          </w:tcPr>
          <w:p>
            <w:pPr>
              <w:ind w:left="80"/>
              <w:spacing w:after="0" w:line="196" w:lineRule="exact"/>
              <w:rPr>
                <w:sz w:val="20"/>
                <w:szCs w:val="20"/>
                <w:color w:val="auto"/>
              </w:rPr>
            </w:pPr>
            <w:r>
              <w:rPr>
                <w:rFonts w:ascii="Arial" w:cs="Arial" w:eastAsia="Arial" w:hAnsi="Arial"/>
                <w:sz w:val="14"/>
                <w:szCs w:val="14"/>
                <w:color w:val="auto"/>
              </w:rPr>
              <w:t>Discover Financial Services</w:t>
            </w:r>
            <w:r>
              <w:rPr>
                <w:rFonts w:ascii="Arial" w:cs="Arial" w:eastAsia="Arial" w:hAnsi="Arial"/>
                <w:sz w:val="18"/>
                <w:szCs w:val="18"/>
                <w:color w:val="auto"/>
                <w:vertAlign w:val="superscript"/>
              </w:rPr>
              <w:t>(2)</w:t>
            </w:r>
          </w:p>
        </w:tc>
        <w:tc>
          <w:tcPr>
            <w:tcW w:w="3540" w:type="dxa"/>
            <w:vAlign w:val="bottom"/>
            <w:tcBorders>
              <w:top w:val="single" w:sz="8" w:color="E6E6E6"/>
              <w:bottom w:val="single" w:sz="8" w:color="E6E6E6"/>
            </w:tcBorders>
          </w:tcPr>
          <w:p>
            <w:pPr>
              <w:ind w:left="100"/>
              <w:spacing w:after="0"/>
              <w:rPr>
                <w:sz w:val="20"/>
                <w:szCs w:val="20"/>
                <w:color w:val="auto"/>
              </w:rPr>
            </w:pPr>
            <w:r>
              <w:rPr>
                <w:rFonts w:ascii="Arial" w:cs="Arial" w:eastAsia="Arial" w:hAnsi="Arial"/>
                <w:sz w:val="14"/>
                <w:szCs w:val="14"/>
                <w:color w:val="auto"/>
              </w:rPr>
              <w:t>Consumer Finance</w:t>
            </w:r>
          </w:p>
        </w:tc>
        <w:tc>
          <w:tcPr>
            <w:tcW w:w="60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E6E6E6"/>
              <w:bottom w:val="single" w:sz="8" w:color="E6E6E6"/>
            </w:tcBorders>
          </w:tcPr>
          <w:p>
            <w:pPr>
              <w:jc w:val="right"/>
              <w:ind w:right="128"/>
              <w:spacing w:after="0"/>
              <w:rPr>
                <w:sz w:val="20"/>
                <w:szCs w:val="20"/>
                <w:color w:val="auto"/>
              </w:rPr>
            </w:pPr>
            <w:r>
              <w:rPr>
                <w:rFonts w:ascii="Arial" w:cs="Arial" w:eastAsia="Arial" w:hAnsi="Arial"/>
                <w:sz w:val="14"/>
                <w:szCs w:val="14"/>
                <w:color w:val="auto"/>
                <w:w w:val="97"/>
              </w:rPr>
              <w:t>11,686</w:t>
            </w:r>
          </w:p>
        </w:tc>
        <w:tc>
          <w:tcPr>
            <w:tcW w:w="52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35,223</w:t>
            </w:r>
          </w:p>
        </w:tc>
      </w:tr>
      <w:tr>
        <w:trPr>
          <w:trHeight w:val="242"/>
        </w:trPr>
        <w:tc>
          <w:tcPr>
            <w:tcW w:w="286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color w:val="auto"/>
              </w:rPr>
              <w:t>Fiserv, Inc.</w:t>
            </w:r>
          </w:p>
        </w:tc>
        <w:tc>
          <w:tcPr>
            <w:tcW w:w="3540" w:type="dxa"/>
            <w:vAlign w:val="bottom"/>
            <w:tcBorders>
              <w:bottom w:val="single" w:sz="8" w:color="EDFAEC"/>
            </w:tcBorders>
            <w:shd w:val="clear" w:color="auto" w:fill="EDFAEC"/>
          </w:tcPr>
          <w:p>
            <w:pPr>
              <w:ind w:left="100"/>
              <w:spacing w:after="0"/>
              <w:rPr>
                <w:sz w:val="20"/>
                <w:szCs w:val="20"/>
                <w:color w:val="auto"/>
              </w:rPr>
            </w:pPr>
            <w:r>
              <w:rPr>
                <w:rFonts w:ascii="Arial" w:cs="Arial" w:eastAsia="Arial" w:hAnsi="Arial"/>
                <w:sz w:val="14"/>
                <w:szCs w:val="14"/>
                <w:color w:val="auto"/>
              </w:rPr>
              <w:t>Transaction and Payment Processing Services</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DFAEC"/>
            </w:tcBorders>
            <w:shd w:val="clear" w:color="auto" w:fill="EDFAEC"/>
          </w:tcPr>
          <w:p>
            <w:pPr>
              <w:jc w:val="right"/>
              <w:ind w:right="128"/>
              <w:spacing w:after="0"/>
              <w:rPr>
                <w:sz w:val="20"/>
                <w:szCs w:val="20"/>
                <w:color w:val="auto"/>
              </w:rPr>
            </w:pPr>
            <w:r>
              <w:rPr>
                <w:rFonts w:ascii="Arial" w:cs="Arial" w:eastAsia="Arial" w:hAnsi="Arial"/>
                <w:sz w:val="14"/>
                <w:szCs w:val="14"/>
                <w:color w:val="auto"/>
                <w:w w:val="97"/>
              </w:rPr>
              <w:t>20,122</w:t>
            </w:r>
          </w:p>
        </w:tc>
        <w:tc>
          <w:tcPr>
            <w:tcW w:w="5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103,429</w:t>
            </w:r>
          </w:p>
        </w:tc>
      </w:tr>
      <w:tr>
        <w:trPr>
          <w:trHeight w:val="192"/>
        </w:trPr>
        <w:tc>
          <w:tcPr>
            <w:tcW w:w="2860" w:type="dxa"/>
            <w:vAlign w:val="bottom"/>
            <w:tcBorders>
              <w:top w:val="single" w:sz="8" w:color="E6E6E6"/>
              <w:bottom w:val="single" w:sz="8" w:color="E6E6E6"/>
            </w:tcBorders>
          </w:tcPr>
          <w:p>
            <w:pPr>
              <w:ind w:left="80"/>
              <w:spacing w:after="0"/>
              <w:rPr>
                <w:sz w:val="20"/>
                <w:szCs w:val="20"/>
                <w:color w:val="auto"/>
              </w:rPr>
            </w:pPr>
            <w:r>
              <w:rPr>
                <w:rFonts w:ascii="Arial" w:cs="Arial" w:eastAsia="Arial" w:hAnsi="Arial"/>
                <w:sz w:val="14"/>
                <w:szCs w:val="14"/>
                <w:color w:val="auto"/>
              </w:rPr>
              <w:t>Global Payments Inc.</w:t>
            </w:r>
          </w:p>
        </w:tc>
        <w:tc>
          <w:tcPr>
            <w:tcW w:w="3540" w:type="dxa"/>
            <w:vAlign w:val="bottom"/>
            <w:tcBorders>
              <w:top w:val="single" w:sz="8" w:color="E6E6E6"/>
              <w:bottom w:val="single" w:sz="8" w:color="E6E6E6"/>
            </w:tcBorders>
          </w:tcPr>
          <w:p>
            <w:pPr>
              <w:ind w:left="100"/>
              <w:spacing w:after="0"/>
              <w:rPr>
                <w:sz w:val="20"/>
                <w:szCs w:val="20"/>
                <w:color w:val="auto"/>
              </w:rPr>
            </w:pPr>
            <w:r>
              <w:rPr>
                <w:rFonts w:ascii="Arial" w:cs="Arial" w:eastAsia="Arial" w:hAnsi="Arial"/>
                <w:sz w:val="14"/>
                <w:szCs w:val="14"/>
                <w:color w:val="auto"/>
              </w:rPr>
              <w:t>Transaction and Payment Processing Services</w:t>
            </w:r>
          </w:p>
        </w:tc>
        <w:tc>
          <w:tcPr>
            <w:tcW w:w="60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E6E6E6"/>
              <w:bottom w:val="single" w:sz="8" w:color="E6E6E6"/>
            </w:tcBorders>
          </w:tcPr>
          <w:p>
            <w:pPr>
              <w:jc w:val="right"/>
              <w:ind w:right="128"/>
              <w:spacing w:after="0"/>
              <w:rPr>
                <w:sz w:val="20"/>
                <w:szCs w:val="20"/>
                <w:color w:val="auto"/>
              </w:rPr>
            </w:pPr>
            <w:r>
              <w:rPr>
                <w:rFonts w:ascii="Arial" w:cs="Arial" w:eastAsia="Arial" w:hAnsi="Arial"/>
                <w:sz w:val="14"/>
                <w:szCs w:val="14"/>
                <w:color w:val="auto"/>
              </w:rPr>
              <w:t>9,898</w:t>
            </w:r>
          </w:p>
        </w:tc>
        <w:tc>
          <w:tcPr>
            <w:tcW w:w="52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26,059</w:t>
            </w:r>
          </w:p>
        </w:tc>
      </w:tr>
      <w:tr>
        <w:trPr>
          <w:trHeight w:val="246"/>
        </w:trPr>
        <w:tc>
          <w:tcPr>
            <w:tcW w:w="286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color w:val="auto"/>
              </w:rPr>
              <w:t>Intercontinental Exchange, Inc.</w:t>
            </w:r>
          </w:p>
        </w:tc>
        <w:tc>
          <w:tcPr>
            <w:tcW w:w="3540" w:type="dxa"/>
            <w:vAlign w:val="bottom"/>
            <w:tcBorders>
              <w:bottom w:val="single" w:sz="8" w:color="EDFAEC"/>
            </w:tcBorders>
            <w:shd w:val="clear" w:color="auto" w:fill="EDFAEC"/>
          </w:tcPr>
          <w:p>
            <w:pPr>
              <w:ind w:left="100"/>
              <w:spacing w:after="0"/>
              <w:rPr>
                <w:sz w:val="20"/>
                <w:szCs w:val="20"/>
                <w:color w:val="auto"/>
              </w:rPr>
            </w:pPr>
            <w:r>
              <w:rPr>
                <w:rFonts w:ascii="Arial" w:cs="Arial" w:eastAsia="Arial" w:hAnsi="Arial"/>
                <w:sz w:val="14"/>
                <w:szCs w:val="14"/>
                <w:color w:val="auto"/>
              </w:rPr>
              <w:t>Financial Exchanges and Data</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DFAEC"/>
            </w:tcBorders>
            <w:shd w:val="clear" w:color="auto" w:fill="EDFAEC"/>
          </w:tcPr>
          <w:p>
            <w:pPr>
              <w:jc w:val="right"/>
              <w:ind w:right="128"/>
              <w:spacing w:after="0"/>
              <w:rPr>
                <w:sz w:val="20"/>
                <w:szCs w:val="20"/>
                <w:color w:val="auto"/>
              </w:rPr>
            </w:pPr>
            <w:r>
              <w:rPr>
                <w:rFonts w:ascii="Arial" w:cs="Arial" w:eastAsia="Arial" w:hAnsi="Arial"/>
                <w:sz w:val="14"/>
                <w:szCs w:val="14"/>
                <w:color w:val="auto"/>
              </w:rPr>
              <w:t>8,811</w:t>
            </w:r>
          </w:p>
        </w:tc>
        <w:tc>
          <w:tcPr>
            <w:tcW w:w="5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92,230</w:t>
            </w:r>
          </w:p>
        </w:tc>
      </w:tr>
      <w:tr>
        <w:trPr>
          <w:trHeight w:val="215"/>
        </w:trPr>
        <w:tc>
          <w:tcPr>
            <w:tcW w:w="2860" w:type="dxa"/>
            <w:vAlign w:val="bottom"/>
            <w:tcBorders>
              <w:top w:val="single" w:sz="8" w:color="E6E6E6"/>
            </w:tcBorders>
          </w:tcPr>
          <w:p>
            <w:pPr>
              <w:ind w:left="80"/>
              <w:spacing w:after="0"/>
              <w:rPr>
                <w:sz w:val="20"/>
                <w:szCs w:val="20"/>
                <w:color w:val="auto"/>
              </w:rPr>
            </w:pPr>
            <w:r>
              <w:rPr>
                <w:rFonts w:ascii="Arial" w:cs="Arial" w:eastAsia="Arial" w:hAnsi="Arial"/>
                <w:sz w:val="14"/>
                <w:szCs w:val="14"/>
                <w:color w:val="auto"/>
              </w:rPr>
              <w:t>Mastercard Incorporated</w:t>
            </w:r>
          </w:p>
        </w:tc>
        <w:tc>
          <w:tcPr>
            <w:tcW w:w="3540" w:type="dxa"/>
            <w:vAlign w:val="bottom"/>
            <w:tcBorders>
              <w:top w:val="single" w:sz="8" w:color="E6E6E6"/>
            </w:tcBorders>
          </w:tcPr>
          <w:p>
            <w:pPr>
              <w:ind w:left="100"/>
              <w:spacing w:after="0"/>
              <w:rPr>
                <w:sz w:val="20"/>
                <w:szCs w:val="20"/>
                <w:color w:val="auto"/>
              </w:rPr>
            </w:pPr>
            <w:r>
              <w:rPr>
                <w:rFonts w:ascii="Arial" w:cs="Arial" w:eastAsia="Arial" w:hAnsi="Arial"/>
                <w:sz w:val="14"/>
                <w:szCs w:val="14"/>
                <w:color w:val="auto"/>
              </w:rPr>
              <w:t>Transaction and Payment Processing Services</w:t>
            </w:r>
          </w:p>
        </w:tc>
        <w:tc>
          <w:tcPr>
            <w:tcW w:w="60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E6E6E6"/>
            </w:tcBorders>
          </w:tcPr>
          <w:p>
            <w:pPr>
              <w:jc w:val="right"/>
              <w:ind w:right="128"/>
              <w:spacing w:after="0"/>
              <w:rPr>
                <w:sz w:val="20"/>
                <w:szCs w:val="20"/>
                <w:color w:val="auto"/>
              </w:rPr>
            </w:pPr>
            <w:r>
              <w:rPr>
                <w:rFonts w:ascii="Arial" w:cs="Arial" w:eastAsia="Arial" w:hAnsi="Arial"/>
                <w:sz w:val="14"/>
                <w:szCs w:val="14"/>
                <w:color w:val="auto"/>
                <w:w w:val="97"/>
              </w:rPr>
              <w:t>26,390</w:t>
            </w:r>
          </w:p>
        </w:tc>
        <w:tc>
          <w:tcPr>
            <w:tcW w:w="52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456,190</w:t>
            </w:r>
          </w:p>
        </w:tc>
      </w:tr>
      <w:tr>
        <w:trPr>
          <w:trHeight w:val="22"/>
        </w:trPr>
        <w:tc>
          <w:tcPr>
            <w:tcW w:w="2860" w:type="dxa"/>
            <w:vAlign w:val="bottom"/>
            <w:tcBorders>
              <w:bottom w:val="single" w:sz="8" w:color="E6E6E6"/>
            </w:tcBorders>
          </w:tcPr>
          <w:p>
            <w:pPr>
              <w:spacing w:after="0" w:line="20" w:lineRule="exact"/>
              <w:rPr>
                <w:sz w:val="1"/>
                <w:szCs w:val="1"/>
                <w:color w:val="auto"/>
              </w:rPr>
            </w:pPr>
          </w:p>
        </w:tc>
        <w:tc>
          <w:tcPr>
            <w:tcW w:w="3540" w:type="dxa"/>
            <w:vAlign w:val="bottom"/>
            <w:tcBorders>
              <w:bottom w:val="single" w:sz="8" w:color="E6E6E6"/>
            </w:tcBorders>
          </w:tcPr>
          <w:p>
            <w:pPr>
              <w:spacing w:after="0" w:line="20" w:lineRule="exact"/>
              <w:rPr>
                <w:sz w:val="1"/>
                <w:szCs w:val="1"/>
                <w:color w:val="auto"/>
              </w:rPr>
            </w:pPr>
          </w:p>
        </w:tc>
        <w:tc>
          <w:tcPr>
            <w:tcW w:w="600" w:type="dxa"/>
            <w:vAlign w:val="bottom"/>
            <w:tcBorders>
              <w:bottom w:val="single" w:sz="8" w:color="E6E6E6"/>
            </w:tcBorders>
          </w:tcPr>
          <w:p>
            <w:pPr>
              <w:spacing w:after="0" w:line="20" w:lineRule="exact"/>
              <w:rPr>
                <w:sz w:val="1"/>
                <w:szCs w:val="1"/>
                <w:color w:val="auto"/>
              </w:rPr>
            </w:pPr>
          </w:p>
        </w:tc>
        <w:tc>
          <w:tcPr>
            <w:tcW w:w="640" w:type="dxa"/>
            <w:vAlign w:val="bottom"/>
            <w:tcBorders>
              <w:bottom w:val="single" w:sz="8" w:color="E6E6E6"/>
            </w:tcBorders>
          </w:tcPr>
          <w:p>
            <w:pPr>
              <w:spacing w:after="0" w:line="20" w:lineRule="exact"/>
              <w:rPr>
                <w:sz w:val="1"/>
                <w:szCs w:val="1"/>
                <w:color w:val="auto"/>
              </w:rPr>
            </w:pPr>
          </w:p>
        </w:tc>
        <w:tc>
          <w:tcPr>
            <w:tcW w:w="520" w:type="dxa"/>
            <w:vAlign w:val="bottom"/>
            <w:tcBorders>
              <w:bottom w:val="single" w:sz="8" w:color="E6E6E6"/>
            </w:tcBorders>
          </w:tcPr>
          <w:p>
            <w:pPr>
              <w:spacing w:after="0" w:line="20" w:lineRule="exact"/>
              <w:rPr>
                <w:sz w:val="1"/>
                <w:szCs w:val="1"/>
                <w:color w:val="auto"/>
              </w:rPr>
            </w:pPr>
          </w:p>
        </w:tc>
        <w:tc>
          <w:tcPr>
            <w:tcW w:w="600" w:type="dxa"/>
            <w:vAlign w:val="bottom"/>
            <w:tcBorders>
              <w:bottom w:val="single" w:sz="8" w:color="E6E6E6"/>
            </w:tcBorders>
          </w:tcPr>
          <w:p>
            <w:pPr>
              <w:spacing w:after="0" w:line="20" w:lineRule="exact"/>
              <w:rPr>
                <w:sz w:val="1"/>
                <w:szCs w:val="1"/>
                <w:color w:val="auto"/>
              </w:rPr>
            </w:pPr>
          </w:p>
        </w:tc>
      </w:tr>
      <w:tr>
        <w:trPr>
          <w:trHeight w:val="192"/>
        </w:trPr>
        <w:tc>
          <w:tcPr>
            <w:tcW w:w="2860" w:type="dxa"/>
            <w:vAlign w:val="bottom"/>
            <w:tcBorders>
              <w:bottom w:val="single" w:sz="8" w:color="E6E6E6"/>
            </w:tcBorders>
            <w:shd w:val="clear" w:color="auto" w:fill="EDFAEC"/>
          </w:tcPr>
          <w:p>
            <w:pPr>
              <w:ind w:left="80"/>
              <w:spacing w:after="0"/>
              <w:rPr>
                <w:sz w:val="20"/>
                <w:szCs w:val="20"/>
                <w:color w:val="auto"/>
              </w:rPr>
            </w:pPr>
            <w:r>
              <w:rPr>
                <w:rFonts w:ascii="Arial" w:cs="Arial" w:eastAsia="Arial" w:hAnsi="Arial"/>
                <w:sz w:val="14"/>
                <w:szCs w:val="14"/>
                <w:color w:val="auto"/>
              </w:rPr>
              <w:t>MSCI Inc.</w:t>
            </w:r>
          </w:p>
        </w:tc>
        <w:tc>
          <w:tcPr>
            <w:tcW w:w="3540" w:type="dxa"/>
            <w:vAlign w:val="bottom"/>
            <w:tcBorders>
              <w:bottom w:val="single" w:sz="8" w:color="E6E6E6"/>
            </w:tcBorders>
            <w:shd w:val="clear" w:color="auto" w:fill="EDFAEC"/>
          </w:tcPr>
          <w:p>
            <w:pPr>
              <w:ind w:left="100"/>
              <w:spacing w:after="0"/>
              <w:rPr>
                <w:sz w:val="20"/>
                <w:szCs w:val="20"/>
                <w:color w:val="auto"/>
              </w:rPr>
            </w:pPr>
            <w:r>
              <w:rPr>
                <w:rFonts w:ascii="Arial" w:cs="Arial" w:eastAsia="Arial" w:hAnsi="Arial"/>
                <w:sz w:val="14"/>
                <w:szCs w:val="14"/>
                <w:color w:val="auto"/>
              </w:rPr>
              <w:t>Financial Exchanges and Data</w:t>
            </w:r>
          </w:p>
        </w:tc>
        <w:tc>
          <w:tcPr>
            <w:tcW w:w="6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6E6E6"/>
            </w:tcBorders>
            <w:shd w:val="clear" w:color="auto" w:fill="EDFAEC"/>
          </w:tcPr>
          <w:p>
            <w:pPr>
              <w:jc w:val="right"/>
              <w:ind w:right="128"/>
              <w:spacing w:after="0"/>
              <w:rPr>
                <w:sz w:val="20"/>
                <w:szCs w:val="20"/>
                <w:color w:val="auto"/>
              </w:rPr>
            </w:pPr>
            <w:r>
              <w:rPr>
                <w:rFonts w:ascii="Arial" w:cs="Arial" w:eastAsia="Arial" w:hAnsi="Arial"/>
                <w:sz w:val="14"/>
                <w:szCs w:val="14"/>
                <w:color w:val="auto"/>
              </w:rPr>
              <w:t>2,703</w:t>
            </w:r>
          </w:p>
        </w:tc>
        <w:tc>
          <w:tcPr>
            <w:tcW w:w="5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45,847</w:t>
            </w:r>
          </w:p>
        </w:tc>
      </w:tr>
      <w:tr>
        <w:trPr>
          <w:trHeight w:val="219"/>
        </w:trPr>
        <w:tc>
          <w:tcPr>
            <w:tcW w:w="2860" w:type="dxa"/>
            <w:vAlign w:val="bottom"/>
          </w:tcPr>
          <w:p>
            <w:pPr>
              <w:ind w:left="80"/>
              <w:spacing w:after="0"/>
              <w:rPr>
                <w:sz w:val="20"/>
                <w:szCs w:val="20"/>
                <w:color w:val="auto"/>
              </w:rPr>
            </w:pPr>
            <w:r>
              <w:rPr>
                <w:rFonts w:ascii="Arial" w:cs="Arial" w:eastAsia="Arial" w:hAnsi="Arial"/>
                <w:sz w:val="14"/>
                <w:szCs w:val="14"/>
                <w:color w:val="auto"/>
              </w:rPr>
              <w:t>Nasdaq, Inc.</w:t>
            </w:r>
          </w:p>
        </w:tc>
        <w:tc>
          <w:tcPr>
            <w:tcW w:w="3540" w:type="dxa"/>
            <w:vAlign w:val="bottom"/>
          </w:tcPr>
          <w:p>
            <w:pPr>
              <w:ind w:left="100"/>
              <w:spacing w:after="0"/>
              <w:rPr>
                <w:sz w:val="20"/>
                <w:szCs w:val="20"/>
                <w:color w:val="auto"/>
              </w:rPr>
            </w:pPr>
            <w:r>
              <w:rPr>
                <w:rFonts w:ascii="Arial" w:cs="Arial" w:eastAsia="Arial" w:hAnsi="Arial"/>
                <w:sz w:val="14"/>
                <w:szCs w:val="14"/>
                <w:color w:val="auto"/>
              </w:rPr>
              <w:t>Financial Exchanges and Data</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6,567</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42,049</w:t>
            </w:r>
          </w:p>
        </w:tc>
      </w:tr>
      <w:tr>
        <w:trPr>
          <w:trHeight w:val="22"/>
        </w:trPr>
        <w:tc>
          <w:tcPr>
            <w:tcW w:w="2860" w:type="dxa"/>
            <w:vAlign w:val="bottom"/>
            <w:tcBorders>
              <w:bottom w:val="single" w:sz="8" w:color="E6E6E6"/>
            </w:tcBorders>
          </w:tcPr>
          <w:p>
            <w:pPr>
              <w:spacing w:after="0" w:line="20" w:lineRule="exact"/>
              <w:rPr>
                <w:sz w:val="1"/>
                <w:szCs w:val="1"/>
                <w:color w:val="auto"/>
              </w:rPr>
            </w:pPr>
          </w:p>
        </w:tc>
        <w:tc>
          <w:tcPr>
            <w:tcW w:w="3540" w:type="dxa"/>
            <w:vAlign w:val="bottom"/>
            <w:tcBorders>
              <w:bottom w:val="single" w:sz="8" w:color="E6E6E6"/>
            </w:tcBorders>
          </w:tcPr>
          <w:p>
            <w:pPr>
              <w:spacing w:after="0" w:line="20" w:lineRule="exact"/>
              <w:rPr>
                <w:sz w:val="1"/>
                <w:szCs w:val="1"/>
                <w:color w:val="auto"/>
              </w:rPr>
            </w:pPr>
          </w:p>
        </w:tc>
        <w:tc>
          <w:tcPr>
            <w:tcW w:w="600" w:type="dxa"/>
            <w:vAlign w:val="bottom"/>
            <w:tcBorders>
              <w:bottom w:val="single" w:sz="8" w:color="E6E6E6"/>
            </w:tcBorders>
          </w:tcPr>
          <w:p>
            <w:pPr>
              <w:spacing w:after="0" w:line="20" w:lineRule="exact"/>
              <w:rPr>
                <w:sz w:val="1"/>
                <w:szCs w:val="1"/>
                <w:color w:val="auto"/>
              </w:rPr>
            </w:pPr>
          </w:p>
        </w:tc>
        <w:tc>
          <w:tcPr>
            <w:tcW w:w="640" w:type="dxa"/>
            <w:vAlign w:val="bottom"/>
            <w:tcBorders>
              <w:bottom w:val="single" w:sz="8" w:color="E6E6E6"/>
            </w:tcBorders>
          </w:tcPr>
          <w:p>
            <w:pPr>
              <w:spacing w:after="0" w:line="20" w:lineRule="exact"/>
              <w:rPr>
                <w:sz w:val="1"/>
                <w:szCs w:val="1"/>
                <w:color w:val="auto"/>
              </w:rPr>
            </w:pPr>
          </w:p>
        </w:tc>
        <w:tc>
          <w:tcPr>
            <w:tcW w:w="520" w:type="dxa"/>
            <w:vAlign w:val="bottom"/>
            <w:tcBorders>
              <w:bottom w:val="single" w:sz="8" w:color="E6E6E6"/>
            </w:tcBorders>
          </w:tcPr>
          <w:p>
            <w:pPr>
              <w:spacing w:after="0" w:line="20" w:lineRule="exact"/>
              <w:rPr>
                <w:sz w:val="1"/>
                <w:szCs w:val="1"/>
                <w:color w:val="auto"/>
              </w:rPr>
            </w:pPr>
          </w:p>
        </w:tc>
        <w:tc>
          <w:tcPr>
            <w:tcW w:w="600" w:type="dxa"/>
            <w:vAlign w:val="bottom"/>
            <w:tcBorders>
              <w:bottom w:val="single" w:sz="8" w:color="E6E6E6"/>
            </w:tcBorders>
          </w:tcPr>
          <w:p>
            <w:pPr>
              <w:spacing w:after="0" w:line="20" w:lineRule="exact"/>
              <w:rPr>
                <w:sz w:val="1"/>
                <w:szCs w:val="1"/>
                <w:color w:val="auto"/>
              </w:rPr>
            </w:pPr>
          </w:p>
        </w:tc>
      </w:tr>
      <w:tr>
        <w:trPr>
          <w:trHeight w:val="242"/>
        </w:trPr>
        <w:tc>
          <w:tcPr>
            <w:tcW w:w="286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color w:val="auto"/>
              </w:rPr>
              <w:t>PayPal Holdings, Inc.</w:t>
            </w:r>
          </w:p>
        </w:tc>
        <w:tc>
          <w:tcPr>
            <w:tcW w:w="3540" w:type="dxa"/>
            <w:vAlign w:val="bottom"/>
            <w:tcBorders>
              <w:bottom w:val="single" w:sz="8" w:color="EDFAEC"/>
            </w:tcBorders>
            <w:shd w:val="clear" w:color="auto" w:fill="EDFAEC"/>
          </w:tcPr>
          <w:p>
            <w:pPr>
              <w:ind w:left="100"/>
              <w:spacing w:after="0"/>
              <w:rPr>
                <w:sz w:val="20"/>
                <w:szCs w:val="20"/>
                <w:color w:val="auto"/>
              </w:rPr>
            </w:pPr>
            <w:r>
              <w:rPr>
                <w:rFonts w:ascii="Arial" w:cs="Arial" w:eastAsia="Arial" w:hAnsi="Arial"/>
                <w:sz w:val="14"/>
                <w:szCs w:val="14"/>
                <w:color w:val="auto"/>
              </w:rPr>
              <w:t>Transaction and Payment Processing Services</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DFAEC"/>
            </w:tcBorders>
            <w:shd w:val="clear" w:color="auto" w:fill="EDFAEC"/>
          </w:tcPr>
          <w:p>
            <w:pPr>
              <w:jc w:val="right"/>
              <w:ind w:right="128"/>
              <w:spacing w:after="0"/>
              <w:rPr>
                <w:sz w:val="20"/>
                <w:szCs w:val="20"/>
                <w:color w:val="auto"/>
              </w:rPr>
            </w:pPr>
            <w:r>
              <w:rPr>
                <w:rFonts w:ascii="Arial" w:cs="Arial" w:eastAsia="Arial" w:hAnsi="Arial"/>
                <w:sz w:val="14"/>
                <w:szCs w:val="14"/>
                <w:color w:val="auto"/>
                <w:w w:val="97"/>
              </w:rPr>
              <w:t>31,028</w:t>
            </w:r>
          </w:p>
        </w:tc>
        <w:tc>
          <w:tcPr>
            <w:tcW w:w="5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79,773</w:t>
            </w:r>
          </w:p>
        </w:tc>
      </w:tr>
      <w:tr>
        <w:trPr>
          <w:trHeight w:val="215"/>
        </w:trPr>
        <w:tc>
          <w:tcPr>
            <w:tcW w:w="2860" w:type="dxa"/>
            <w:vAlign w:val="bottom"/>
            <w:tcBorders>
              <w:top w:val="single" w:sz="8" w:color="E6E6E6"/>
            </w:tcBorders>
          </w:tcPr>
          <w:p>
            <w:pPr>
              <w:ind w:left="80"/>
              <w:spacing w:after="0"/>
              <w:rPr>
                <w:sz w:val="20"/>
                <w:szCs w:val="20"/>
                <w:color w:val="auto"/>
              </w:rPr>
            </w:pPr>
            <w:r>
              <w:rPr>
                <w:rFonts w:ascii="Arial" w:cs="Arial" w:eastAsia="Arial" w:hAnsi="Arial"/>
                <w:sz w:val="14"/>
                <w:szCs w:val="14"/>
                <w:color w:val="auto"/>
              </w:rPr>
              <w:t>SS&amp;C Technologies Holdings, Inc.</w:t>
            </w:r>
          </w:p>
        </w:tc>
        <w:tc>
          <w:tcPr>
            <w:tcW w:w="3540" w:type="dxa"/>
            <w:vAlign w:val="bottom"/>
            <w:tcBorders>
              <w:top w:val="single" w:sz="8" w:color="E6E6E6"/>
            </w:tcBorders>
          </w:tcPr>
          <w:p>
            <w:pPr>
              <w:ind w:left="100"/>
              <w:spacing w:after="0"/>
              <w:rPr>
                <w:sz w:val="20"/>
                <w:szCs w:val="20"/>
                <w:color w:val="auto"/>
              </w:rPr>
            </w:pPr>
            <w:r>
              <w:rPr>
                <w:rFonts w:ascii="Arial" w:cs="Arial" w:eastAsia="Arial" w:hAnsi="Arial"/>
                <w:sz w:val="14"/>
                <w:szCs w:val="14"/>
                <w:color w:val="auto"/>
              </w:rPr>
              <w:t>Data Processing and Outsourced Services</w:t>
            </w:r>
          </w:p>
        </w:tc>
        <w:tc>
          <w:tcPr>
            <w:tcW w:w="60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E6E6E6"/>
            </w:tcBorders>
          </w:tcPr>
          <w:p>
            <w:pPr>
              <w:jc w:val="right"/>
              <w:ind w:right="128"/>
              <w:spacing w:after="0"/>
              <w:rPr>
                <w:sz w:val="20"/>
                <w:szCs w:val="20"/>
                <w:color w:val="auto"/>
              </w:rPr>
            </w:pPr>
            <w:r>
              <w:rPr>
                <w:rFonts w:ascii="Arial" w:cs="Arial" w:eastAsia="Arial" w:hAnsi="Arial"/>
                <w:sz w:val="14"/>
                <w:szCs w:val="14"/>
                <w:color w:val="auto"/>
              </w:rPr>
              <w:t>5,664</w:t>
            </w:r>
          </w:p>
        </w:tc>
        <w:tc>
          <w:tcPr>
            <w:tcW w:w="52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18,213</w:t>
            </w:r>
          </w:p>
        </w:tc>
      </w:tr>
      <w:tr>
        <w:trPr>
          <w:trHeight w:val="22"/>
        </w:trPr>
        <w:tc>
          <w:tcPr>
            <w:tcW w:w="2860" w:type="dxa"/>
            <w:vAlign w:val="bottom"/>
            <w:tcBorders>
              <w:bottom w:val="single" w:sz="8" w:color="E6E6E6"/>
            </w:tcBorders>
          </w:tcPr>
          <w:p>
            <w:pPr>
              <w:spacing w:after="0" w:line="20" w:lineRule="exact"/>
              <w:rPr>
                <w:sz w:val="1"/>
                <w:szCs w:val="1"/>
                <w:color w:val="auto"/>
              </w:rPr>
            </w:pPr>
          </w:p>
        </w:tc>
        <w:tc>
          <w:tcPr>
            <w:tcW w:w="3540" w:type="dxa"/>
            <w:vAlign w:val="bottom"/>
            <w:tcBorders>
              <w:bottom w:val="single" w:sz="8" w:color="E6E6E6"/>
            </w:tcBorders>
          </w:tcPr>
          <w:p>
            <w:pPr>
              <w:spacing w:after="0" w:line="20" w:lineRule="exact"/>
              <w:rPr>
                <w:sz w:val="1"/>
                <w:szCs w:val="1"/>
                <w:color w:val="auto"/>
              </w:rPr>
            </w:pPr>
          </w:p>
        </w:tc>
        <w:tc>
          <w:tcPr>
            <w:tcW w:w="600" w:type="dxa"/>
            <w:vAlign w:val="bottom"/>
            <w:tcBorders>
              <w:bottom w:val="single" w:sz="8" w:color="E6E6E6"/>
            </w:tcBorders>
          </w:tcPr>
          <w:p>
            <w:pPr>
              <w:spacing w:after="0" w:line="20" w:lineRule="exact"/>
              <w:rPr>
                <w:sz w:val="1"/>
                <w:szCs w:val="1"/>
                <w:color w:val="auto"/>
              </w:rPr>
            </w:pPr>
          </w:p>
        </w:tc>
        <w:tc>
          <w:tcPr>
            <w:tcW w:w="640" w:type="dxa"/>
            <w:vAlign w:val="bottom"/>
            <w:tcBorders>
              <w:bottom w:val="single" w:sz="8" w:color="E6E6E6"/>
            </w:tcBorders>
          </w:tcPr>
          <w:p>
            <w:pPr>
              <w:spacing w:after="0" w:line="20" w:lineRule="exact"/>
              <w:rPr>
                <w:sz w:val="1"/>
                <w:szCs w:val="1"/>
                <w:color w:val="auto"/>
              </w:rPr>
            </w:pPr>
          </w:p>
        </w:tc>
        <w:tc>
          <w:tcPr>
            <w:tcW w:w="520" w:type="dxa"/>
            <w:vAlign w:val="bottom"/>
            <w:tcBorders>
              <w:bottom w:val="single" w:sz="8" w:color="E6E6E6"/>
            </w:tcBorders>
          </w:tcPr>
          <w:p>
            <w:pPr>
              <w:spacing w:after="0" w:line="20" w:lineRule="exact"/>
              <w:rPr>
                <w:sz w:val="1"/>
                <w:szCs w:val="1"/>
                <w:color w:val="auto"/>
              </w:rPr>
            </w:pPr>
          </w:p>
        </w:tc>
        <w:tc>
          <w:tcPr>
            <w:tcW w:w="600" w:type="dxa"/>
            <w:vAlign w:val="bottom"/>
            <w:tcBorders>
              <w:bottom w:val="single" w:sz="8" w:color="E6E6E6"/>
            </w:tcBorders>
          </w:tcPr>
          <w:p>
            <w:pPr>
              <w:spacing w:after="0" w:line="20" w:lineRule="exact"/>
              <w:rPr>
                <w:sz w:val="1"/>
                <w:szCs w:val="1"/>
                <w:color w:val="auto"/>
              </w:rPr>
            </w:pPr>
          </w:p>
        </w:tc>
      </w:tr>
      <w:tr>
        <w:trPr>
          <w:trHeight w:val="192"/>
        </w:trPr>
        <w:tc>
          <w:tcPr>
            <w:tcW w:w="2860" w:type="dxa"/>
            <w:vAlign w:val="bottom"/>
            <w:tcBorders>
              <w:bottom w:val="single" w:sz="8" w:color="E6E6E6"/>
            </w:tcBorders>
            <w:shd w:val="clear" w:color="auto" w:fill="EDFAEC"/>
          </w:tcPr>
          <w:p>
            <w:pPr>
              <w:ind w:left="80"/>
              <w:spacing w:after="0"/>
              <w:rPr>
                <w:sz w:val="20"/>
                <w:szCs w:val="20"/>
                <w:color w:val="auto"/>
              </w:rPr>
            </w:pPr>
            <w:r>
              <w:rPr>
                <w:rFonts w:ascii="Arial" w:cs="Arial" w:eastAsia="Arial" w:hAnsi="Arial"/>
                <w:sz w:val="14"/>
                <w:szCs w:val="14"/>
                <w:color w:val="auto"/>
              </w:rPr>
              <w:t>S&amp;P Global Inc.</w:t>
            </w:r>
          </w:p>
        </w:tc>
        <w:tc>
          <w:tcPr>
            <w:tcW w:w="3540" w:type="dxa"/>
            <w:vAlign w:val="bottom"/>
            <w:tcBorders>
              <w:bottom w:val="single" w:sz="8" w:color="E6E6E6"/>
            </w:tcBorders>
            <w:shd w:val="clear" w:color="auto" w:fill="EDFAEC"/>
          </w:tcPr>
          <w:p>
            <w:pPr>
              <w:ind w:left="100"/>
              <w:spacing w:after="0"/>
              <w:rPr>
                <w:sz w:val="20"/>
                <w:szCs w:val="20"/>
                <w:color w:val="auto"/>
              </w:rPr>
            </w:pPr>
            <w:r>
              <w:rPr>
                <w:rFonts w:ascii="Arial" w:cs="Arial" w:eastAsia="Arial" w:hAnsi="Arial"/>
                <w:sz w:val="14"/>
                <w:szCs w:val="14"/>
                <w:color w:val="auto"/>
              </w:rPr>
              <w:t>Financial Exchanges and Data</w:t>
            </w:r>
          </w:p>
        </w:tc>
        <w:tc>
          <w:tcPr>
            <w:tcW w:w="6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6E6E6"/>
            </w:tcBorders>
            <w:shd w:val="clear" w:color="auto" w:fill="EDFAEC"/>
          </w:tcPr>
          <w:p>
            <w:pPr>
              <w:jc w:val="right"/>
              <w:ind w:right="128"/>
              <w:spacing w:after="0"/>
              <w:rPr>
                <w:sz w:val="20"/>
                <w:szCs w:val="20"/>
                <w:color w:val="auto"/>
              </w:rPr>
            </w:pPr>
            <w:r>
              <w:rPr>
                <w:rFonts w:ascii="Arial" w:cs="Arial" w:eastAsia="Arial" w:hAnsi="Arial"/>
                <w:sz w:val="14"/>
                <w:szCs w:val="14"/>
                <w:color w:val="auto"/>
                <w:w w:val="97"/>
              </w:rPr>
              <w:t>13,276</w:t>
            </w:r>
          </w:p>
        </w:tc>
        <w:tc>
          <w:tcPr>
            <w:tcW w:w="5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161,648</w:t>
            </w:r>
          </w:p>
        </w:tc>
      </w:tr>
      <w:tr>
        <w:trPr>
          <w:trHeight w:val="196"/>
        </w:trPr>
        <w:tc>
          <w:tcPr>
            <w:tcW w:w="2860" w:type="dxa"/>
            <w:vAlign w:val="bottom"/>
            <w:tcBorders>
              <w:bottom w:val="single" w:sz="8" w:color="E6E6E6"/>
            </w:tcBorders>
          </w:tcPr>
          <w:p>
            <w:pPr>
              <w:ind w:left="80"/>
              <w:spacing w:after="0"/>
              <w:rPr>
                <w:sz w:val="20"/>
                <w:szCs w:val="20"/>
                <w:color w:val="auto"/>
              </w:rPr>
            </w:pPr>
            <w:r>
              <w:rPr>
                <w:rFonts w:ascii="Arial" w:cs="Arial" w:eastAsia="Arial" w:hAnsi="Arial"/>
                <w:sz w:val="14"/>
                <w:szCs w:val="14"/>
                <w:color w:val="auto"/>
              </w:rPr>
              <w:t>Synchrony Financial</w:t>
            </w:r>
          </w:p>
        </w:tc>
        <w:tc>
          <w:tcPr>
            <w:tcW w:w="3540" w:type="dxa"/>
            <w:vAlign w:val="bottom"/>
            <w:tcBorders>
              <w:bottom w:val="single" w:sz="8" w:color="E6E6E6"/>
            </w:tcBorders>
          </w:tcPr>
          <w:p>
            <w:pPr>
              <w:ind w:left="100"/>
              <w:spacing w:after="0"/>
              <w:rPr>
                <w:sz w:val="20"/>
                <w:szCs w:val="20"/>
                <w:color w:val="auto"/>
              </w:rPr>
            </w:pPr>
            <w:r>
              <w:rPr>
                <w:rFonts w:ascii="Arial" w:cs="Arial" w:eastAsia="Arial" w:hAnsi="Arial"/>
                <w:sz w:val="14"/>
                <w:szCs w:val="14"/>
                <w:color w:val="auto"/>
              </w:rPr>
              <w:t>Consumer Finance</w:t>
            </w:r>
          </w:p>
        </w:tc>
        <w:tc>
          <w:tcPr>
            <w:tcW w:w="600" w:type="dxa"/>
            <w:vAlign w:val="bottom"/>
            <w:tcBorders>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6E6E6"/>
            </w:tcBorders>
          </w:tcPr>
          <w:p>
            <w:pPr>
              <w:jc w:val="right"/>
              <w:ind w:right="128"/>
              <w:spacing w:after="0"/>
              <w:rPr>
                <w:sz w:val="20"/>
                <w:szCs w:val="20"/>
                <w:color w:val="auto"/>
              </w:rPr>
            </w:pPr>
            <w:r>
              <w:rPr>
                <w:rFonts w:ascii="Arial" w:cs="Arial" w:eastAsia="Arial" w:hAnsi="Arial"/>
                <w:sz w:val="14"/>
                <w:szCs w:val="14"/>
                <w:color w:val="auto"/>
              </w:rPr>
              <w:t>9,007</w:t>
            </w:r>
          </w:p>
        </w:tc>
        <w:tc>
          <w:tcPr>
            <w:tcW w:w="520" w:type="dxa"/>
            <w:vAlign w:val="bottom"/>
            <w:tcBorders>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6E6E6"/>
            </w:tcBorders>
          </w:tcPr>
          <w:p>
            <w:pPr>
              <w:jc w:val="right"/>
              <w:spacing w:after="0"/>
              <w:rPr>
                <w:sz w:val="20"/>
                <w:szCs w:val="20"/>
                <w:color w:val="auto"/>
              </w:rPr>
            </w:pPr>
            <w:r>
              <w:rPr>
                <w:rFonts w:ascii="Arial" w:cs="Arial" w:eastAsia="Arial" w:hAnsi="Arial"/>
                <w:sz w:val="14"/>
                <w:szCs w:val="14"/>
                <w:color w:val="auto"/>
              </w:rPr>
              <w:t>19,714</w:t>
            </w:r>
          </w:p>
        </w:tc>
      </w:tr>
      <w:tr>
        <w:trPr>
          <w:trHeight w:val="246"/>
        </w:trPr>
        <w:tc>
          <w:tcPr>
            <w:tcW w:w="286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color w:val="auto"/>
              </w:rPr>
              <w:t>The Bank of New York Mellon Corporation</w:t>
            </w:r>
          </w:p>
        </w:tc>
        <w:tc>
          <w:tcPr>
            <w:tcW w:w="3540" w:type="dxa"/>
            <w:vAlign w:val="bottom"/>
            <w:tcBorders>
              <w:bottom w:val="single" w:sz="8" w:color="EDFAEC"/>
            </w:tcBorders>
            <w:shd w:val="clear" w:color="auto" w:fill="EDFAEC"/>
          </w:tcPr>
          <w:p>
            <w:pPr>
              <w:ind w:left="100"/>
              <w:spacing w:after="0"/>
              <w:rPr>
                <w:sz w:val="20"/>
                <w:szCs w:val="20"/>
                <w:color w:val="auto"/>
              </w:rPr>
            </w:pPr>
            <w:r>
              <w:rPr>
                <w:rFonts w:ascii="Arial" w:cs="Arial" w:eastAsia="Arial" w:hAnsi="Arial"/>
                <w:sz w:val="14"/>
                <w:szCs w:val="14"/>
                <w:color w:val="auto"/>
              </w:rPr>
              <w:t>Asset Management and Custody Banks</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DFAEC"/>
            </w:tcBorders>
            <w:shd w:val="clear" w:color="auto" w:fill="EDFAEC"/>
          </w:tcPr>
          <w:p>
            <w:pPr>
              <w:jc w:val="right"/>
              <w:ind w:right="128"/>
              <w:spacing w:after="0"/>
              <w:rPr>
                <w:sz w:val="20"/>
                <w:szCs w:val="20"/>
                <w:color w:val="auto"/>
              </w:rPr>
            </w:pPr>
            <w:r>
              <w:rPr>
                <w:rFonts w:ascii="Arial" w:cs="Arial" w:eastAsia="Arial" w:hAnsi="Arial"/>
                <w:sz w:val="14"/>
                <w:szCs w:val="14"/>
                <w:color w:val="auto"/>
                <w:w w:val="97"/>
              </w:rPr>
              <w:t>17,801</w:t>
            </w:r>
          </w:p>
        </w:tc>
        <w:tc>
          <w:tcPr>
            <w:tcW w:w="5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53,030</w:t>
            </w:r>
          </w:p>
        </w:tc>
      </w:tr>
      <w:tr>
        <w:trPr>
          <w:trHeight w:val="192"/>
        </w:trPr>
        <w:tc>
          <w:tcPr>
            <w:tcW w:w="2860" w:type="dxa"/>
            <w:vAlign w:val="bottom"/>
            <w:tcBorders>
              <w:top w:val="single" w:sz="8" w:color="E6E6E6"/>
              <w:bottom w:val="single" w:sz="8" w:color="E6E6E6"/>
            </w:tcBorders>
          </w:tcPr>
          <w:p>
            <w:pPr>
              <w:ind w:left="80"/>
              <w:spacing w:after="0"/>
              <w:rPr>
                <w:sz w:val="20"/>
                <w:szCs w:val="20"/>
                <w:color w:val="auto"/>
              </w:rPr>
            </w:pPr>
            <w:r>
              <w:rPr>
                <w:rFonts w:ascii="Arial" w:cs="Arial" w:eastAsia="Arial" w:hAnsi="Arial"/>
                <w:sz w:val="14"/>
                <w:szCs w:val="14"/>
                <w:color w:val="auto"/>
              </w:rPr>
              <w:t>Tradeweb Markets Inc.</w:t>
            </w:r>
          </w:p>
        </w:tc>
        <w:tc>
          <w:tcPr>
            <w:tcW w:w="3540" w:type="dxa"/>
            <w:vAlign w:val="bottom"/>
            <w:tcBorders>
              <w:top w:val="single" w:sz="8" w:color="E6E6E6"/>
              <w:bottom w:val="single" w:sz="8" w:color="E6E6E6"/>
            </w:tcBorders>
          </w:tcPr>
          <w:p>
            <w:pPr>
              <w:ind w:left="100"/>
              <w:spacing w:after="0"/>
              <w:rPr>
                <w:sz w:val="20"/>
                <w:szCs w:val="20"/>
                <w:color w:val="auto"/>
              </w:rPr>
            </w:pPr>
            <w:r>
              <w:rPr>
                <w:rFonts w:ascii="Arial" w:cs="Arial" w:eastAsia="Arial" w:hAnsi="Arial"/>
                <w:sz w:val="14"/>
                <w:szCs w:val="14"/>
                <w:color w:val="auto"/>
              </w:rPr>
              <w:t>Financial Exchanges and Data</w:t>
            </w:r>
          </w:p>
        </w:tc>
        <w:tc>
          <w:tcPr>
            <w:tcW w:w="60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E6E6E6"/>
              <w:bottom w:val="single" w:sz="8" w:color="E6E6E6"/>
            </w:tcBorders>
          </w:tcPr>
          <w:p>
            <w:pPr>
              <w:jc w:val="right"/>
              <w:ind w:right="128"/>
              <w:spacing w:after="0"/>
              <w:rPr>
                <w:sz w:val="20"/>
                <w:szCs w:val="20"/>
                <w:color w:val="auto"/>
              </w:rPr>
            </w:pPr>
            <w:r>
              <w:rPr>
                <w:rFonts w:ascii="Arial" w:cs="Arial" w:eastAsia="Arial" w:hAnsi="Arial"/>
                <w:sz w:val="14"/>
                <w:szCs w:val="14"/>
                <w:color w:val="auto"/>
              </w:rPr>
              <w:t>1,511</w:t>
            </w:r>
          </w:p>
        </w:tc>
        <w:tc>
          <w:tcPr>
            <w:tcW w:w="52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26,370</w:t>
            </w:r>
          </w:p>
        </w:tc>
      </w:tr>
      <w:tr>
        <w:trPr>
          <w:trHeight w:val="246"/>
        </w:trPr>
        <w:tc>
          <w:tcPr>
            <w:tcW w:w="286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color w:val="auto"/>
              </w:rPr>
              <w:t>Visa Inc.</w:t>
            </w:r>
          </w:p>
        </w:tc>
        <w:tc>
          <w:tcPr>
            <w:tcW w:w="3540" w:type="dxa"/>
            <w:vAlign w:val="bottom"/>
            <w:tcBorders>
              <w:bottom w:val="single" w:sz="8" w:color="EDFAEC"/>
            </w:tcBorders>
            <w:shd w:val="clear" w:color="auto" w:fill="EDFAEC"/>
          </w:tcPr>
          <w:p>
            <w:pPr>
              <w:ind w:left="100"/>
              <w:spacing w:after="0"/>
              <w:rPr>
                <w:sz w:val="20"/>
                <w:szCs w:val="20"/>
                <w:color w:val="auto"/>
              </w:rPr>
            </w:pPr>
            <w:r>
              <w:rPr>
                <w:rFonts w:ascii="Arial" w:cs="Arial" w:eastAsia="Arial" w:hAnsi="Arial"/>
                <w:sz w:val="14"/>
                <w:szCs w:val="14"/>
                <w:color w:val="auto"/>
              </w:rPr>
              <w:t>Transaction and Payment Processing Services</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DFAEC"/>
            </w:tcBorders>
            <w:shd w:val="clear" w:color="auto" w:fill="EDFAEC"/>
          </w:tcPr>
          <w:p>
            <w:pPr>
              <w:jc w:val="right"/>
              <w:ind w:right="128"/>
              <w:spacing w:after="0"/>
              <w:rPr>
                <w:sz w:val="20"/>
                <w:szCs w:val="20"/>
                <w:color w:val="auto"/>
              </w:rPr>
            </w:pPr>
            <w:r>
              <w:rPr>
                <w:rFonts w:ascii="Arial" w:cs="Arial" w:eastAsia="Arial" w:hAnsi="Arial"/>
                <w:sz w:val="14"/>
                <w:szCs w:val="14"/>
                <w:color w:val="auto"/>
                <w:w w:val="97"/>
              </w:rPr>
              <w:t>34,918</w:t>
            </w:r>
          </w:p>
        </w:tc>
        <w:tc>
          <w:tcPr>
            <w:tcW w:w="5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523,056</w:t>
            </w:r>
          </w:p>
        </w:tc>
      </w:tr>
      <w:tr>
        <w:trPr>
          <w:trHeight w:val="237"/>
        </w:trPr>
        <w:tc>
          <w:tcPr>
            <w:tcW w:w="2860" w:type="dxa"/>
            <w:vAlign w:val="bottom"/>
            <w:tcBorders>
              <w:top w:val="single" w:sz="8" w:color="E6E6E6"/>
              <w:bottom w:val="single" w:sz="8" w:color="E6E6E6"/>
            </w:tcBorders>
          </w:tcPr>
          <w:p>
            <w:pPr>
              <w:ind w:left="80"/>
              <w:spacing w:after="0"/>
              <w:rPr>
                <w:sz w:val="20"/>
                <w:szCs w:val="20"/>
                <w:color w:val="auto"/>
              </w:rPr>
            </w:pPr>
            <w:r>
              <w:rPr>
                <w:rFonts w:ascii="Arial" w:cs="Arial" w:eastAsia="Arial" w:hAnsi="Arial"/>
                <w:sz w:val="14"/>
                <w:szCs w:val="14"/>
                <w:color w:val="auto"/>
              </w:rPr>
              <w:t>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3540" w:type="dxa"/>
            <w:vAlign w:val="bottom"/>
            <w:tcBorders>
              <w:top w:val="single" w:sz="8" w:color="E6E6E6"/>
              <w:bottom w:val="single" w:sz="8" w:color="E6E6E6"/>
            </w:tcBorders>
          </w:tcPr>
          <w:p>
            <w:pPr>
              <w:spacing w:after="0"/>
              <w:rPr>
                <w:sz w:val="20"/>
                <w:szCs w:val="20"/>
                <w:color w:val="auto"/>
              </w:rPr>
            </w:pPr>
          </w:p>
        </w:tc>
        <w:tc>
          <w:tcPr>
            <w:tcW w:w="60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E6E6E6"/>
              <w:bottom w:val="single" w:sz="8" w:color="E6E6E6"/>
            </w:tcBorders>
          </w:tcPr>
          <w:p>
            <w:pPr>
              <w:jc w:val="right"/>
              <w:ind w:right="128"/>
              <w:spacing w:after="0"/>
              <w:rPr>
                <w:sz w:val="20"/>
                <w:szCs w:val="20"/>
                <w:color w:val="auto"/>
              </w:rPr>
            </w:pPr>
            <w:r>
              <w:rPr>
                <w:rFonts w:ascii="Arial" w:cs="Arial" w:eastAsia="Arial" w:hAnsi="Arial"/>
                <w:sz w:val="14"/>
                <w:szCs w:val="14"/>
                <w:color w:val="auto"/>
                <w:w w:val="97"/>
              </w:rPr>
              <w:t>20,122</w:t>
            </w:r>
          </w:p>
        </w:tc>
        <w:tc>
          <w:tcPr>
            <w:tcW w:w="52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103,429</w:t>
            </w:r>
          </w:p>
        </w:tc>
      </w:tr>
      <w:tr>
        <w:trPr>
          <w:trHeight w:val="241"/>
        </w:trPr>
        <w:tc>
          <w:tcPr>
            <w:tcW w:w="286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color w:val="auto"/>
              </w:rPr>
              <w:t>Median</w:t>
            </w:r>
          </w:p>
        </w:tc>
        <w:tc>
          <w:tcPr>
            <w:tcW w:w="3540" w:type="dxa"/>
            <w:vAlign w:val="bottom"/>
            <w:tcBorders>
              <w:bottom w:val="single" w:sz="8" w:color="EDFAEC"/>
            </w:tcBorders>
            <w:shd w:val="clear" w:color="auto" w:fill="EDFAEC"/>
          </w:tcPr>
          <w:p>
            <w:pPr>
              <w:spacing w:after="0"/>
              <w:rPr>
                <w:sz w:val="20"/>
                <w:szCs w:val="20"/>
                <w:color w:val="auto"/>
              </w:rPr>
            </w:pP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DFAEC"/>
            </w:tcBorders>
            <w:shd w:val="clear" w:color="auto" w:fill="EDFAEC"/>
          </w:tcPr>
          <w:p>
            <w:pPr>
              <w:jc w:val="right"/>
              <w:ind w:right="128"/>
              <w:spacing w:after="0"/>
              <w:rPr>
                <w:sz w:val="20"/>
                <w:szCs w:val="20"/>
                <w:color w:val="auto"/>
              </w:rPr>
            </w:pPr>
            <w:r>
              <w:rPr>
                <w:rFonts w:ascii="Arial" w:cs="Arial" w:eastAsia="Arial" w:hAnsi="Arial"/>
                <w:sz w:val="14"/>
                <w:szCs w:val="14"/>
                <w:color w:val="auto"/>
                <w:w w:val="97"/>
              </w:rPr>
              <w:t>11,686</w:t>
            </w:r>
          </w:p>
        </w:tc>
        <w:tc>
          <w:tcPr>
            <w:tcW w:w="5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45,847</w:t>
            </w:r>
          </w:p>
        </w:tc>
      </w:tr>
      <w:tr>
        <w:trPr>
          <w:trHeight w:val="237"/>
        </w:trPr>
        <w:tc>
          <w:tcPr>
            <w:tcW w:w="2860" w:type="dxa"/>
            <w:vAlign w:val="bottom"/>
            <w:tcBorders>
              <w:top w:val="single" w:sz="8" w:color="E6E6E6"/>
              <w:bottom w:val="single" w:sz="8" w:color="E6E6E6"/>
            </w:tcBorders>
          </w:tcPr>
          <w:p>
            <w:pPr>
              <w:ind w:left="80"/>
              <w:spacing w:after="0"/>
              <w:rPr>
                <w:sz w:val="20"/>
                <w:szCs w:val="20"/>
                <w:color w:val="auto"/>
              </w:rPr>
            </w:pPr>
            <w:r>
              <w:rPr>
                <w:rFonts w:ascii="Arial" w:cs="Arial" w:eastAsia="Arial" w:hAnsi="Arial"/>
                <w:sz w:val="14"/>
                <w:szCs w:val="14"/>
                <w:color w:val="auto"/>
              </w:rPr>
              <w:t>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3540" w:type="dxa"/>
            <w:vAlign w:val="bottom"/>
            <w:tcBorders>
              <w:top w:val="single" w:sz="8" w:color="E6E6E6"/>
              <w:bottom w:val="single" w:sz="8" w:color="E6E6E6"/>
            </w:tcBorders>
          </w:tcPr>
          <w:p>
            <w:pPr>
              <w:spacing w:after="0"/>
              <w:rPr>
                <w:sz w:val="20"/>
                <w:szCs w:val="20"/>
                <w:color w:val="auto"/>
              </w:rPr>
            </w:pPr>
          </w:p>
        </w:tc>
        <w:tc>
          <w:tcPr>
            <w:tcW w:w="60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E6E6E6"/>
              <w:bottom w:val="single" w:sz="8" w:color="E6E6E6"/>
            </w:tcBorders>
          </w:tcPr>
          <w:p>
            <w:pPr>
              <w:jc w:val="right"/>
              <w:ind w:right="128"/>
              <w:spacing w:after="0"/>
              <w:rPr>
                <w:sz w:val="20"/>
                <w:szCs w:val="20"/>
                <w:color w:val="auto"/>
              </w:rPr>
            </w:pPr>
            <w:r>
              <w:rPr>
                <w:rFonts w:ascii="Arial" w:cs="Arial" w:eastAsia="Arial" w:hAnsi="Arial"/>
                <w:sz w:val="14"/>
                <w:szCs w:val="14"/>
                <w:color w:val="auto"/>
              </w:rPr>
              <w:t>6,567</w:t>
            </w:r>
          </w:p>
        </w:tc>
        <w:tc>
          <w:tcPr>
            <w:tcW w:w="52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4"/>
                <w:szCs w:val="14"/>
                <w:color w:val="auto"/>
              </w:rPr>
              <w:t>26,370</w:t>
            </w:r>
          </w:p>
        </w:tc>
      </w:tr>
      <w:tr>
        <w:trPr>
          <w:trHeight w:val="241"/>
        </w:trPr>
        <w:tc>
          <w:tcPr>
            <w:tcW w:w="286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color w:val="auto"/>
              </w:rPr>
              <w:t>Fidelity National Information Services, Inc.</w:t>
            </w:r>
          </w:p>
        </w:tc>
        <w:tc>
          <w:tcPr>
            <w:tcW w:w="3540" w:type="dxa"/>
            <w:vAlign w:val="bottom"/>
            <w:tcBorders>
              <w:bottom w:val="single" w:sz="8" w:color="EDFAEC"/>
            </w:tcBorders>
            <w:shd w:val="clear" w:color="auto" w:fill="EDFAEC"/>
          </w:tcPr>
          <w:p>
            <w:pPr>
              <w:ind w:left="100"/>
              <w:spacing w:after="0"/>
              <w:rPr>
                <w:sz w:val="20"/>
                <w:szCs w:val="20"/>
                <w:color w:val="auto"/>
              </w:rPr>
            </w:pPr>
            <w:r>
              <w:rPr>
                <w:rFonts w:ascii="Arial" w:cs="Arial" w:eastAsia="Arial" w:hAnsi="Arial"/>
                <w:sz w:val="14"/>
                <w:szCs w:val="14"/>
                <w:color w:val="auto"/>
              </w:rPr>
              <w:t>Transaction and Payment Processing Services</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DFAEC"/>
            </w:tcBorders>
            <w:shd w:val="clear" w:color="auto" w:fill="EDFAEC"/>
          </w:tcPr>
          <w:p>
            <w:pPr>
              <w:jc w:val="right"/>
              <w:ind w:right="128"/>
              <w:spacing w:after="0"/>
              <w:rPr>
                <w:sz w:val="20"/>
                <w:szCs w:val="20"/>
                <w:color w:val="auto"/>
              </w:rPr>
            </w:pPr>
            <w:r>
              <w:rPr>
                <w:rFonts w:ascii="Arial" w:cs="Arial" w:eastAsia="Arial" w:hAnsi="Arial"/>
                <w:sz w:val="14"/>
                <w:szCs w:val="14"/>
                <w:color w:val="auto"/>
              </w:rPr>
              <w:t>9,957</w:t>
            </w:r>
          </w:p>
        </w:tc>
        <w:tc>
          <w:tcPr>
            <w:tcW w:w="5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45,691</w:t>
            </w:r>
          </w:p>
        </w:tc>
      </w:tr>
      <w:tr>
        <w:trPr>
          <w:trHeight w:val="192"/>
        </w:trPr>
        <w:tc>
          <w:tcPr>
            <w:tcW w:w="2860" w:type="dxa"/>
            <w:vAlign w:val="bottom"/>
            <w:tcBorders>
              <w:top w:val="single" w:sz="8" w:color="E6E6E6"/>
              <w:bottom w:val="single" w:sz="8" w:color="431C5B"/>
            </w:tcBorders>
          </w:tcPr>
          <w:p>
            <w:pPr>
              <w:ind w:left="80"/>
              <w:spacing w:after="0"/>
              <w:rPr>
                <w:sz w:val="20"/>
                <w:szCs w:val="20"/>
                <w:color w:val="auto"/>
              </w:rPr>
            </w:pPr>
            <w:r>
              <w:rPr>
                <w:rFonts w:ascii="Arial" w:cs="Arial" w:eastAsia="Arial" w:hAnsi="Arial"/>
                <w:sz w:val="14"/>
                <w:szCs w:val="14"/>
                <w:i w:val="1"/>
                <w:iCs w:val="1"/>
                <w:color w:val="auto"/>
              </w:rPr>
              <w:t>Percentile Ranking</w:t>
            </w:r>
          </w:p>
        </w:tc>
        <w:tc>
          <w:tcPr>
            <w:tcW w:w="3540" w:type="dxa"/>
            <w:vAlign w:val="bottom"/>
            <w:tcBorders>
              <w:top w:val="single" w:sz="8" w:color="E6E6E6"/>
              <w:bottom w:val="single" w:sz="8" w:color="431C5B"/>
            </w:tcBorders>
          </w:tcPr>
          <w:p>
            <w:pPr>
              <w:spacing w:after="0"/>
              <w:rPr>
                <w:sz w:val="16"/>
                <w:szCs w:val="16"/>
                <w:color w:val="auto"/>
              </w:rPr>
            </w:pPr>
          </w:p>
        </w:tc>
        <w:tc>
          <w:tcPr>
            <w:tcW w:w="600" w:type="dxa"/>
            <w:vAlign w:val="bottom"/>
            <w:tcBorders>
              <w:top w:val="single" w:sz="8" w:color="E6E6E6"/>
              <w:bottom w:val="single" w:sz="8" w:color="431C5B"/>
            </w:tcBorders>
          </w:tcPr>
          <w:p>
            <w:pPr>
              <w:spacing w:after="0"/>
              <w:rPr>
                <w:sz w:val="16"/>
                <w:szCs w:val="16"/>
                <w:color w:val="auto"/>
              </w:rPr>
            </w:pPr>
          </w:p>
        </w:tc>
        <w:tc>
          <w:tcPr>
            <w:tcW w:w="640" w:type="dxa"/>
            <w:vAlign w:val="bottom"/>
            <w:tcBorders>
              <w:top w:val="single" w:sz="8" w:color="E6E6E6"/>
              <w:bottom w:val="single" w:sz="8" w:color="431C5B"/>
            </w:tcBorders>
          </w:tcPr>
          <w:p>
            <w:pPr>
              <w:jc w:val="right"/>
              <w:ind w:right="228"/>
              <w:spacing w:after="0"/>
              <w:rPr>
                <w:sz w:val="20"/>
                <w:szCs w:val="20"/>
                <w:color w:val="auto"/>
              </w:rPr>
            </w:pPr>
            <w:r>
              <w:rPr>
                <w:rFonts w:ascii="Arial" w:cs="Arial" w:eastAsia="Arial" w:hAnsi="Arial"/>
                <w:sz w:val="14"/>
                <w:szCs w:val="14"/>
                <w:color w:val="auto"/>
              </w:rPr>
              <w:t>44%</w:t>
            </w:r>
          </w:p>
        </w:tc>
        <w:tc>
          <w:tcPr>
            <w:tcW w:w="520" w:type="dxa"/>
            <w:vAlign w:val="bottom"/>
            <w:tcBorders>
              <w:top w:val="single" w:sz="8" w:color="E6E6E6"/>
              <w:bottom w:val="single" w:sz="8" w:color="431C5B"/>
            </w:tcBorders>
          </w:tcPr>
          <w:p>
            <w:pPr>
              <w:spacing w:after="0"/>
              <w:rPr>
                <w:sz w:val="16"/>
                <w:szCs w:val="16"/>
                <w:color w:val="auto"/>
              </w:rPr>
            </w:pPr>
          </w:p>
        </w:tc>
        <w:tc>
          <w:tcPr>
            <w:tcW w:w="600" w:type="dxa"/>
            <w:vAlign w:val="bottom"/>
            <w:tcBorders>
              <w:top w:val="single" w:sz="8" w:color="E6E6E6"/>
              <w:bottom w:val="single" w:sz="8" w:color="431C5B"/>
            </w:tcBorders>
          </w:tcPr>
          <w:p>
            <w:pPr>
              <w:jc w:val="right"/>
              <w:ind w:right="128"/>
              <w:spacing w:after="0"/>
              <w:rPr>
                <w:sz w:val="20"/>
                <w:szCs w:val="20"/>
                <w:color w:val="auto"/>
              </w:rPr>
            </w:pPr>
            <w:r>
              <w:rPr>
                <w:rFonts w:ascii="Arial" w:cs="Arial" w:eastAsia="Arial" w:hAnsi="Arial"/>
                <w:sz w:val="14"/>
                <w:szCs w:val="14"/>
                <w:color w:val="auto"/>
              </w:rPr>
              <w:t>50%</w:t>
            </w:r>
          </w:p>
        </w:tc>
      </w:tr>
    </w:tbl>
    <w:p>
      <w:pPr>
        <w:spacing w:after="0" w:line="144" w:lineRule="exact"/>
        <w:rPr>
          <w:sz w:val="20"/>
          <w:szCs w:val="20"/>
          <w:color w:val="auto"/>
        </w:rPr>
      </w:pPr>
    </w:p>
    <w:p>
      <w:pPr>
        <w:ind w:left="380" w:right="599" w:hanging="250"/>
        <w:spacing w:after="0" w:line="254" w:lineRule="auto"/>
        <w:tabs>
          <w:tab w:leader="none" w:pos="380" w:val="left"/>
        </w:tabs>
        <w:numPr>
          <w:ilvl w:val="0"/>
          <w:numId w:val="81"/>
        </w:numPr>
        <w:rPr>
          <w:rFonts w:ascii="Arial" w:cs="Arial" w:eastAsia="Arial" w:hAnsi="Arial"/>
          <w:sz w:val="16"/>
          <w:szCs w:val="16"/>
          <w:color w:val="auto"/>
          <w:highlight w:val="white"/>
          <w:vertAlign w:val="superscript"/>
        </w:rPr>
      </w:pPr>
      <w:r>
        <w:rPr>
          <w:rFonts w:ascii="Arial" w:cs="Arial" w:eastAsia="Arial" w:hAnsi="Arial"/>
          <w:sz w:val="13"/>
          <w:szCs w:val="13"/>
          <w:color w:val="auto"/>
          <w:highlight w:val="white"/>
        </w:rPr>
        <w:t>All information provided is as of October 2024, as reflected in the marketplace review provided by Meridian in connection with the Compensation Committee’s review of our executive compensation and benefit programs for 2025, and does not reflect any subsequent mergers, acquisitions or divestitures affecting any of the peer group companies.</w:t>
      </w:r>
    </w:p>
    <w:p>
      <w:pPr>
        <w:spacing w:after="0" w:line="24" w:lineRule="exact"/>
        <w:rPr>
          <w:rFonts w:ascii="Arial" w:cs="Arial" w:eastAsia="Arial" w:hAnsi="Arial"/>
          <w:sz w:val="16"/>
          <w:szCs w:val="16"/>
          <w:color w:val="auto"/>
          <w:highlight w:val="white"/>
          <w:vertAlign w:val="superscript"/>
        </w:rPr>
      </w:pPr>
    </w:p>
    <w:p>
      <w:pPr>
        <w:ind w:left="380" w:hanging="250"/>
        <w:spacing w:after="0"/>
        <w:tabs>
          <w:tab w:leader="none" w:pos="380" w:val="left"/>
        </w:tabs>
        <w:numPr>
          <w:ilvl w:val="0"/>
          <w:numId w:val="81"/>
        </w:numPr>
        <w:rPr>
          <w:rFonts w:ascii="Arial" w:cs="Arial" w:eastAsia="Arial" w:hAnsi="Arial"/>
          <w:sz w:val="16"/>
          <w:szCs w:val="16"/>
          <w:color w:val="auto"/>
          <w:vertAlign w:val="superscript"/>
        </w:rPr>
      </w:pPr>
      <w:r>
        <w:rPr>
          <w:rFonts w:ascii="Arial" w:cs="Arial" w:eastAsia="Arial" w:hAnsi="Arial"/>
          <w:sz w:val="13"/>
          <w:szCs w:val="13"/>
          <w:color w:val="auto"/>
        </w:rPr>
        <w:t>Discover Financial Services ceased to be included in the peer group after it was acquired by Capital One in early 2025.</w:t>
      </w:r>
    </w:p>
    <w:p>
      <w:pPr>
        <w:spacing w:after="0" w:line="162" w:lineRule="exact"/>
        <w:rPr>
          <w:sz w:val="20"/>
          <w:szCs w:val="20"/>
          <w:color w:val="auto"/>
        </w:rPr>
      </w:pPr>
    </w:p>
    <w:p>
      <w:pPr>
        <w:ind w:left="140" w:right="159"/>
        <w:spacing w:after="0" w:line="277" w:lineRule="auto"/>
        <w:rPr>
          <w:sz w:val="20"/>
          <w:szCs w:val="20"/>
          <w:color w:val="auto"/>
        </w:rPr>
      </w:pPr>
      <w:r>
        <w:rPr>
          <w:rFonts w:ascii="Arial" w:cs="Arial" w:eastAsia="Arial" w:hAnsi="Arial"/>
          <w:sz w:val="16"/>
          <w:szCs w:val="16"/>
          <w:color w:val="auto"/>
        </w:rPr>
        <w:t>In selecting this peer group, the Compensation Committee added five companies and removed three companies from the peer group that it used to help it evaluate the 2024 compensation program. The Compensation Committee added MSCI Inc., which has a similar market capitalization and uses a subscription-based revenue model; S&amp;P Global Inc., which has roughly comparable revenue to FIS and also operates a subscription-focused revenue model; Synchrony Financial, which has roughly comparable revenue to FIS; The Bank of New York Mellon Corporation, which, like FIS, provides a range of financial products and services in the U.S. and internationally and has a market capitalization similar to FIS; and Tradeweb Markets Inc., which, although smaller than FIS in terms of revenue and market capitalization, deploys a services-oriented strategy focused on capital markets. The Compensation Committee removed American Express Company, which is considerably larger than FIS in terms of both revenue and market capitalization and has a dissimilar business model; DXC Technology Company, which has a considerably smaller market capitalization than FIS and does not serve the same end-markets; and The Western Union Company, which is considerably smaller than FIS in terms of both revenue and market capitalization and does not serve similar customers. The overall effect of these changes was to include more companies in the peer group that have operational similarities to FIS and to bring the median revenue for the peer group substantially closer to FIS’s revenue without significantly changing FIS’s positioning relative to the peer group’s median market capitalization.</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55</w:t>
      </w:r>
    </w:p>
    <w:p>
      <w:pPr>
        <w:sectPr>
          <w:pgSz w:w="11900" w:h="16838" w:orient="portrait"/>
          <w:cols w:equalWidth="0" w:num="1">
            <w:col w:w="9019"/>
          </w:cols>
          <w:pgMar w:left="1440" w:top="657" w:right="1440" w:bottom="1440" w:gutter="0" w:footer="0" w:header="0"/>
          <w:type w:val="continuous"/>
        </w:sectPr>
      </w:pPr>
    </w:p>
    <w:bookmarkStart w:id="58" w:name="page59"/>
    <w:bookmarkEnd w:id="58"/>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15" w:lineRule="exact"/>
        <w:rPr>
          <w:sz w:val="20"/>
          <w:szCs w:val="20"/>
          <w:color w:val="auto"/>
        </w:rPr>
      </w:pPr>
    </w:p>
    <w:p>
      <w:pPr>
        <w:ind w:left="140" w:right="159"/>
        <w:spacing w:after="0" w:line="300" w:lineRule="auto"/>
        <w:rPr>
          <w:sz w:val="20"/>
          <w:szCs w:val="20"/>
          <w:color w:val="auto"/>
        </w:rPr>
      </w:pPr>
      <w:r>
        <w:rPr>
          <w:rFonts w:ascii="Arial" w:cs="Arial" w:eastAsia="Arial" w:hAnsi="Arial"/>
          <w:sz w:val="15"/>
          <w:szCs w:val="15"/>
          <w:color w:val="auto"/>
        </w:rPr>
        <w:t>The Compensation Committee maintains a broader compensation philosophy that generally targets peer group median levels, but, for high performing, key executives, the Compensation Committee may choose to exceed the median levels when appropriate in order to incentivize long-term value creation for our shareholders. While Ms. Ferris’ total target compensation opportunity in 2025 slightly exceeded the peer group median, the Compensation Committee designed Ms. Ferris’ 2025 compensation so that long-term incentive compensation (of which approximately 66% was performance-based) accounted for the excess over the median. As a result, Ms. Ferris will achieve realized compensation above the peer group median only if the Company’s performance objectives are met or exceeded. This creates further alignment between Ms. Ferris and the shareholders, reinforcing shareholder experience with the risk and rewards of equity ownership.</w:t>
      </w:r>
    </w:p>
    <w:p>
      <w:pPr>
        <w:spacing w:after="0" w:line="125" w:lineRule="exact"/>
        <w:rPr>
          <w:sz w:val="20"/>
          <w:szCs w:val="20"/>
          <w:color w:val="auto"/>
        </w:rPr>
      </w:pPr>
    </w:p>
    <w:p>
      <w:pPr>
        <w:ind w:left="140" w:right="599"/>
        <w:spacing w:after="0" w:line="304" w:lineRule="auto"/>
        <w:rPr>
          <w:sz w:val="20"/>
          <w:szCs w:val="20"/>
          <w:color w:val="auto"/>
        </w:rPr>
      </w:pPr>
      <w:r>
        <w:rPr>
          <w:rFonts w:ascii="Arial" w:cs="Arial" w:eastAsia="Arial" w:hAnsi="Arial"/>
          <w:sz w:val="16"/>
          <w:szCs w:val="16"/>
          <w:color w:val="auto"/>
        </w:rPr>
        <w:t>The marketplace data information in this discussion is not deemed filed or part of the Compensation Discussion and Analysis for certification purposes.</w:t>
      </w:r>
    </w:p>
    <w:p>
      <w:pPr>
        <w:spacing w:after="0" w:line="131" w:lineRule="exact"/>
        <w:rPr>
          <w:sz w:val="20"/>
          <w:szCs w:val="20"/>
          <w:color w:val="auto"/>
        </w:rPr>
      </w:pPr>
    </w:p>
    <w:p>
      <w:pPr>
        <w:ind w:left="140" w:right="1059"/>
        <w:spacing w:after="0" w:line="286" w:lineRule="auto"/>
        <w:rPr>
          <w:sz w:val="20"/>
          <w:szCs w:val="20"/>
          <w:color w:val="auto"/>
        </w:rPr>
      </w:pPr>
      <w:r>
        <w:rPr>
          <w:rFonts w:ascii="Arial" w:cs="Arial" w:eastAsia="Arial" w:hAnsi="Arial"/>
          <w:sz w:val="25"/>
          <w:szCs w:val="25"/>
          <w:b w:val="1"/>
          <w:bCs w:val="1"/>
          <w:color w:val="431C5B"/>
        </w:rPr>
        <w:t>Role of Compensation Committee, Compensation Consultant and Executive Officers</w:t>
      </w:r>
    </w:p>
    <w:p>
      <w:pPr>
        <w:ind w:left="140" w:right="299"/>
        <w:spacing w:after="0" w:line="292" w:lineRule="auto"/>
        <w:rPr>
          <w:sz w:val="20"/>
          <w:szCs w:val="20"/>
          <w:color w:val="auto"/>
        </w:rPr>
      </w:pPr>
      <w:r>
        <w:rPr>
          <w:rFonts w:ascii="Arial" w:cs="Arial" w:eastAsia="Arial" w:hAnsi="Arial"/>
          <w:sz w:val="16"/>
          <w:szCs w:val="16"/>
          <w:color w:val="auto"/>
        </w:rPr>
        <w:t>Our Compensation Committee is responsible for reviewing, approving and monitoring the compensation program for our NEOs, as well as our other executive officers. Our Compensation Committee is also responsible for administering our stock incentive plans and approving individual grants and awards for our executive officers.</w:t>
      </w:r>
    </w:p>
    <w:p>
      <w:pPr>
        <w:spacing w:after="0" w:line="111" w:lineRule="exact"/>
        <w:rPr>
          <w:sz w:val="20"/>
          <w:szCs w:val="20"/>
          <w:color w:val="auto"/>
        </w:rPr>
      </w:pPr>
    </w:p>
    <w:p>
      <w:pPr>
        <w:ind w:left="140" w:right="539"/>
        <w:spacing w:after="0" w:line="287" w:lineRule="auto"/>
        <w:rPr>
          <w:sz w:val="20"/>
          <w:szCs w:val="20"/>
          <w:color w:val="auto"/>
        </w:rPr>
      </w:pPr>
      <w:r>
        <w:rPr>
          <w:rFonts w:ascii="Arial" w:cs="Arial" w:eastAsia="Arial" w:hAnsi="Arial"/>
          <w:sz w:val="16"/>
          <w:szCs w:val="16"/>
          <w:color w:val="auto"/>
        </w:rPr>
        <w:t>To further the objectives of our compensation program, our Compensation Committee engaged Meridian in 2025 to conduct an ongoing review over the course of the year of our compensation program for our NEOs, other executive officers and our Board. Meridian provided our Compensation Committee with relevant market data on compensation, including annual salary, annual incentives, long-term incentives, other benefits, total compensation and pay mix, and alternatives to consider when making compensation decisions.</w:t>
      </w:r>
    </w:p>
    <w:p>
      <w:pPr>
        <w:spacing w:after="0" w:line="115" w:lineRule="exact"/>
        <w:rPr>
          <w:sz w:val="20"/>
          <w:szCs w:val="20"/>
          <w:color w:val="auto"/>
        </w:rPr>
      </w:pPr>
    </w:p>
    <w:p>
      <w:pPr>
        <w:ind w:left="140" w:right="399"/>
        <w:spacing w:after="0" w:line="289" w:lineRule="auto"/>
        <w:rPr>
          <w:sz w:val="20"/>
          <w:szCs w:val="20"/>
          <w:color w:val="auto"/>
        </w:rPr>
      </w:pPr>
      <w:r>
        <w:rPr>
          <w:rFonts w:ascii="Arial" w:cs="Arial" w:eastAsia="Arial" w:hAnsi="Arial"/>
          <w:sz w:val="16"/>
          <w:szCs w:val="16"/>
          <w:color w:val="auto"/>
        </w:rPr>
        <w:t>The Compensation Committee may also give specific assignments to Meridian from time to time and may ask for Meridian’s assistance when it is considering a special or one-time compensation arrangement. In addition, members of our Compensation Committee have discussions with Meridian between meetings as specific questions arise. Meridian was selected by our Compensation Committee and reports directly to the committee.</w:t>
      </w:r>
    </w:p>
    <w:p>
      <w:pPr>
        <w:spacing w:after="0" w:line="126" w:lineRule="exact"/>
        <w:rPr>
          <w:sz w:val="20"/>
          <w:szCs w:val="20"/>
          <w:color w:val="auto"/>
        </w:rPr>
      </w:pPr>
    </w:p>
    <w:p>
      <w:pPr>
        <w:ind w:left="140" w:right="219"/>
        <w:spacing w:after="0" w:line="279" w:lineRule="auto"/>
        <w:rPr>
          <w:sz w:val="20"/>
          <w:szCs w:val="20"/>
          <w:color w:val="auto"/>
        </w:rPr>
      </w:pPr>
      <w:r>
        <w:rPr>
          <w:rFonts w:ascii="Arial" w:cs="Arial" w:eastAsia="Arial" w:hAnsi="Arial"/>
          <w:sz w:val="16"/>
          <w:szCs w:val="16"/>
          <w:color w:val="auto"/>
        </w:rPr>
        <w:t>Ms. Ferris provided input and made recommendations to the Compensation Committee regarding executive compensation levels for executive officers. In addition, Mr. Toohey, our Chief People Officer, coordinated with the Compensation Committee’s Chair and Meridian in preparing the Compensation Committee’s meeting agendas and materials. Although our Compensation Committee considered the recommendations of Ms. Ferris with regard to our executive officers, our Compensation Committee exercises its discretion when making compensation decisions and may modify the recommendations. Ms. Ferris did not make recommendations to our Compensation Committee with respect to her own compensation.</w:t>
      </w:r>
    </w:p>
    <w:p>
      <w:pPr>
        <w:spacing w:after="0" w:line="136" w:lineRule="exact"/>
        <w:rPr>
          <w:sz w:val="20"/>
          <w:szCs w:val="20"/>
          <w:color w:val="auto"/>
        </w:rPr>
      </w:pPr>
    </w:p>
    <w:p>
      <w:pPr>
        <w:ind w:left="140" w:right="179"/>
        <w:spacing w:after="0" w:line="292" w:lineRule="auto"/>
        <w:rPr>
          <w:sz w:val="20"/>
          <w:szCs w:val="20"/>
          <w:color w:val="auto"/>
        </w:rPr>
      </w:pPr>
      <w:r>
        <w:rPr>
          <w:rFonts w:ascii="Arial" w:cs="Arial" w:eastAsia="Arial" w:hAnsi="Arial"/>
          <w:sz w:val="16"/>
          <w:szCs w:val="16"/>
          <w:color w:val="auto"/>
        </w:rPr>
        <w:t>While our Compensation Committee carefully considers the information provided by, and the recommendations of, Meridian and the individuals who participate in the compensation process, the Compensation Committee retains complete discretion to accept, reject or modify any recommended compensation decisions.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Independence of the Compensation Consultant</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Compensation Committee approves Meridian’s fee structure and terms of engagement.</w:t>
      </w:r>
    </w:p>
    <w:p>
      <w:pPr>
        <w:spacing w:after="0" w:line="181" w:lineRule="exact"/>
        <w:rPr>
          <w:sz w:val="20"/>
          <w:szCs w:val="20"/>
          <w:color w:val="auto"/>
        </w:rPr>
      </w:pPr>
    </w:p>
    <w:p>
      <w:pPr>
        <w:ind w:left="140" w:right="239"/>
        <w:spacing w:after="0" w:line="321" w:lineRule="auto"/>
        <w:rPr>
          <w:sz w:val="20"/>
          <w:szCs w:val="20"/>
          <w:color w:val="auto"/>
        </w:rPr>
      </w:pPr>
      <w:r>
        <w:rPr>
          <w:rFonts w:ascii="Arial" w:cs="Arial" w:eastAsia="Arial" w:hAnsi="Arial"/>
          <w:sz w:val="16"/>
          <w:szCs w:val="16"/>
          <w:color w:val="auto"/>
        </w:rPr>
        <w:t>Meridian only provided compensation advisory services to the Compensation Committee in 2025 and did not provide any other services unrelated to executive or director compensation.</w:t>
      </w:r>
    </w:p>
    <w:p>
      <w:pPr>
        <w:spacing w:after="0" w:line="88" w:lineRule="exact"/>
        <w:rPr>
          <w:sz w:val="20"/>
          <w:szCs w:val="20"/>
          <w:color w:val="auto"/>
        </w:rPr>
      </w:pPr>
    </w:p>
    <w:p>
      <w:pPr>
        <w:ind w:left="140" w:right="139"/>
        <w:spacing w:after="0" w:line="289" w:lineRule="auto"/>
        <w:rPr>
          <w:sz w:val="20"/>
          <w:szCs w:val="20"/>
          <w:color w:val="auto"/>
        </w:rPr>
      </w:pPr>
      <w:r>
        <w:rPr>
          <w:rFonts w:ascii="Arial" w:cs="Arial" w:eastAsia="Arial" w:hAnsi="Arial"/>
          <w:sz w:val="16"/>
          <w:szCs w:val="16"/>
          <w:color w:val="auto"/>
        </w:rPr>
        <w:t>The Compensation Committee has considered and assessed relevant factors, including but not limited to those set forth in Rule 10C-1(b)(4)(i) through (vi) under the Exchange Act, that could give rise to a potential conflict of interest with respect to Meridian’s service in 2025. Based on this review, the Compensation Committee determined that there are no conflicts of interest raised by the work performed by Meridian.</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20" w:hanging="429"/>
        <w:spacing w:after="0"/>
        <w:tabs>
          <w:tab w:leader="none" w:pos="620" w:val="left"/>
        </w:tabs>
        <w:numPr>
          <w:ilvl w:val="0"/>
          <w:numId w:val="82"/>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59" w:name="page60"/>
    <w:bookmarkEnd w:id="59"/>
    <w:p>
      <w:pPr>
        <w:ind w:left="6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Compensation Elements</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Components of 2025 Total Compensation and Pay Mix</w:t>
      </w:r>
    </w:p>
    <w:p>
      <w:pPr>
        <w:spacing w:after="0" w:line="74" w:lineRule="exact"/>
        <w:rPr>
          <w:sz w:val="20"/>
          <w:szCs w:val="20"/>
          <w:color w:val="auto"/>
        </w:rPr>
      </w:pPr>
    </w:p>
    <w:p>
      <w:pPr>
        <w:jc w:val="both"/>
        <w:ind w:left="140" w:right="659"/>
        <w:spacing w:after="0" w:line="277" w:lineRule="auto"/>
        <w:rPr>
          <w:sz w:val="20"/>
          <w:szCs w:val="20"/>
          <w:color w:val="auto"/>
        </w:rPr>
      </w:pPr>
      <w:r>
        <w:rPr>
          <w:rFonts w:ascii="Arial" w:cs="Arial" w:eastAsia="Arial" w:hAnsi="Arial"/>
          <w:sz w:val="16"/>
          <w:szCs w:val="16"/>
          <w:color w:val="auto"/>
        </w:rPr>
        <w:t>We compensate our executives primarily through a mix of base salary, annual cash incentives, and long-term equity-based incentives. We also maintain employee benefit plans for our employees and executive officers. Some executive officers, including our NEOs, may also receive limited additional benefits. The compensation earned by our NEOs in 2025 consisted of the following:</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0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Compensation component</w:t>
            </w:r>
          </w:p>
        </w:tc>
        <w:tc>
          <w:tcPr>
            <w:tcW w:w="6660" w:type="dxa"/>
            <w:vAlign w:val="bottom"/>
            <w:tcBorders>
              <w:bottom w:val="single" w:sz="8" w:color="431C5B"/>
            </w:tcBorders>
          </w:tcPr>
          <w:p>
            <w:pPr>
              <w:ind w:left="40"/>
              <w:spacing w:after="0"/>
              <w:rPr>
                <w:sz w:val="20"/>
                <w:szCs w:val="20"/>
                <w:color w:val="auto"/>
              </w:rPr>
            </w:pPr>
            <w:r>
              <w:rPr>
                <w:rFonts w:ascii="Arial" w:cs="Arial" w:eastAsia="Arial" w:hAnsi="Arial"/>
                <w:sz w:val="14"/>
                <w:szCs w:val="14"/>
                <w:b w:val="1"/>
                <w:bCs w:val="1"/>
                <w:color w:val="431C5B"/>
              </w:rPr>
              <w:t>Purpose of the compensation component</w:t>
            </w:r>
          </w:p>
        </w:tc>
      </w:tr>
      <w:tr>
        <w:trPr>
          <w:trHeight w:val="263"/>
        </w:trPr>
        <w:tc>
          <w:tcPr>
            <w:tcW w:w="2100" w:type="dxa"/>
            <w:vAlign w:val="bottom"/>
            <w:shd w:val="clear" w:color="auto" w:fill="EDFAEC"/>
          </w:tcPr>
          <w:p>
            <w:pPr>
              <w:ind w:left="80"/>
              <w:spacing w:after="0"/>
              <w:rPr>
                <w:sz w:val="20"/>
                <w:szCs w:val="20"/>
                <w:color w:val="auto"/>
              </w:rPr>
            </w:pPr>
            <w:r>
              <w:rPr>
                <w:rFonts w:ascii="Arial" w:cs="Arial" w:eastAsia="Arial" w:hAnsi="Arial"/>
                <w:sz w:val="16"/>
                <w:szCs w:val="16"/>
                <w:b w:val="1"/>
                <w:bCs w:val="1"/>
                <w:color w:val="auto"/>
              </w:rPr>
              <w:t>Base salary</w:t>
            </w:r>
          </w:p>
        </w:tc>
        <w:tc>
          <w:tcPr>
            <w:tcW w:w="6660" w:type="dxa"/>
            <w:vAlign w:val="bottom"/>
            <w:shd w:val="clear" w:color="auto" w:fill="EDFAEC"/>
          </w:tcPr>
          <w:p>
            <w:pPr>
              <w:ind w:left="40"/>
              <w:spacing w:after="0"/>
              <w:rPr>
                <w:sz w:val="20"/>
                <w:szCs w:val="20"/>
                <w:color w:val="auto"/>
              </w:rPr>
            </w:pPr>
            <w:r>
              <w:rPr>
                <w:rFonts w:ascii="Arial" w:cs="Arial" w:eastAsia="Arial" w:hAnsi="Arial"/>
                <w:sz w:val="16"/>
                <w:szCs w:val="16"/>
                <w:color w:val="auto"/>
              </w:rPr>
              <w:t>Salary provides a level of assured, regularly paid, cash compensation that is designed to be</w:t>
            </w:r>
          </w:p>
        </w:tc>
      </w:tr>
      <w:tr>
        <w:trPr>
          <w:trHeight w:val="215"/>
        </w:trPr>
        <w:tc>
          <w:tcPr>
            <w:tcW w:w="2100" w:type="dxa"/>
            <w:vAlign w:val="bottom"/>
            <w:shd w:val="clear" w:color="auto" w:fill="EDFAEC"/>
          </w:tcPr>
          <w:p>
            <w:pPr>
              <w:spacing w:after="0"/>
              <w:rPr>
                <w:sz w:val="18"/>
                <w:szCs w:val="18"/>
                <w:color w:val="auto"/>
              </w:rPr>
            </w:pPr>
          </w:p>
        </w:tc>
        <w:tc>
          <w:tcPr>
            <w:tcW w:w="6660" w:type="dxa"/>
            <w:vAlign w:val="bottom"/>
            <w:shd w:val="clear" w:color="auto" w:fill="EDFAEC"/>
          </w:tcPr>
          <w:p>
            <w:pPr>
              <w:ind w:left="40"/>
              <w:spacing w:after="0"/>
              <w:rPr>
                <w:sz w:val="20"/>
                <w:szCs w:val="20"/>
                <w:color w:val="auto"/>
              </w:rPr>
            </w:pPr>
            <w:r>
              <w:rPr>
                <w:rFonts w:ascii="Arial" w:cs="Arial" w:eastAsia="Arial" w:hAnsi="Arial"/>
                <w:sz w:val="16"/>
                <w:szCs w:val="16"/>
                <w:color w:val="auto"/>
              </w:rPr>
              <w:t>competitive and reasonable to allow us to attract and retain key executives.</w:t>
            </w:r>
          </w:p>
        </w:tc>
      </w:tr>
      <w:tr>
        <w:trPr>
          <w:trHeight w:val="83"/>
        </w:trPr>
        <w:tc>
          <w:tcPr>
            <w:tcW w:w="2100" w:type="dxa"/>
            <w:vAlign w:val="bottom"/>
            <w:tcBorders>
              <w:bottom w:val="single" w:sz="8" w:color="E6E6E6"/>
            </w:tcBorders>
            <w:shd w:val="clear" w:color="auto" w:fill="EDFAEC"/>
          </w:tcPr>
          <w:p>
            <w:pPr>
              <w:spacing w:after="0"/>
              <w:rPr>
                <w:sz w:val="7"/>
                <w:szCs w:val="7"/>
                <w:color w:val="auto"/>
              </w:rPr>
            </w:pPr>
          </w:p>
        </w:tc>
        <w:tc>
          <w:tcPr>
            <w:tcW w:w="6660" w:type="dxa"/>
            <w:vAlign w:val="bottom"/>
            <w:tcBorders>
              <w:bottom w:val="single" w:sz="8" w:color="E6E6E6"/>
            </w:tcBorders>
            <w:shd w:val="clear" w:color="auto" w:fill="EDFAEC"/>
          </w:tcPr>
          <w:p>
            <w:pPr>
              <w:spacing w:after="0"/>
              <w:rPr>
                <w:sz w:val="7"/>
                <w:szCs w:val="7"/>
                <w:color w:val="auto"/>
              </w:rPr>
            </w:pPr>
          </w:p>
        </w:tc>
      </w:tr>
      <w:tr>
        <w:trPr>
          <w:trHeight w:val="263"/>
        </w:trPr>
        <w:tc>
          <w:tcPr>
            <w:tcW w:w="2100" w:type="dxa"/>
            <w:vAlign w:val="bottom"/>
          </w:tcPr>
          <w:p>
            <w:pPr>
              <w:ind w:left="80"/>
              <w:spacing w:after="0"/>
              <w:rPr>
                <w:sz w:val="20"/>
                <w:szCs w:val="20"/>
                <w:color w:val="auto"/>
              </w:rPr>
            </w:pPr>
            <w:r>
              <w:rPr>
                <w:rFonts w:ascii="Arial" w:cs="Arial" w:eastAsia="Arial" w:hAnsi="Arial"/>
                <w:sz w:val="16"/>
                <w:szCs w:val="16"/>
                <w:b w:val="1"/>
                <w:bCs w:val="1"/>
                <w:color w:val="auto"/>
              </w:rPr>
              <w:t>Annual cash incentive</w:t>
            </w:r>
          </w:p>
        </w:tc>
        <w:tc>
          <w:tcPr>
            <w:tcW w:w="6660" w:type="dxa"/>
            <w:vAlign w:val="bottom"/>
          </w:tcPr>
          <w:p>
            <w:pPr>
              <w:ind w:left="40"/>
              <w:spacing w:after="0"/>
              <w:rPr>
                <w:sz w:val="20"/>
                <w:szCs w:val="20"/>
                <w:color w:val="auto"/>
              </w:rPr>
            </w:pPr>
            <w:r>
              <w:rPr>
                <w:rFonts w:ascii="Arial" w:cs="Arial" w:eastAsia="Arial" w:hAnsi="Arial"/>
                <w:sz w:val="16"/>
                <w:szCs w:val="16"/>
                <w:color w:val="auto"/>
              </w:rPr>
              <w:t>Performance-based annual cash incentives designed to motivate our NEOs to achieve or</w:t>
            </w:r>
          </w:p>
        </w:tc>
      </w:tr>
      <w:tr>
        <w:trPr>
          <w:trHeight w:val="215"/>
        </w:trPr>
        <w:tc>
          <w:tcPr>
            <w:tcW w:w="210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exceed our in-year operating plan and help to attract and retain key executives.</w:t>
            </w:r>
          </w:p>
        </w:tc>
      </w:tr>
      <w:tr>
        <w:trPr>
          <w:trHeight w:val="366"/>
        </w:trPr>
        <w:tc>
          <w:tcPr>
            <w:tcW w:w="2100" w:type="dxa"/>
            <w:vAlign w:val="bottom"/>
          </w:tcPr>
          <w:p>
            <w:pPr>
              <w:spacing w:after="0"/>
              <w:rPr>
                <w:sz w:val="24"/>
                <w:szCs w:val="24"/>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The performance measures and their weighting for the 2025 annual cash incentive program</w:t>
            </w:r>
          </w:p>
        </w:tc>
      </w:tr>
      <w:tr>
        <w:trPr>
          <w:trHeight w:val="215"/>
        </w:trPr>
        <w:tc>
          <w:tcPr>
            <w:tcW w:w="210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were: Revenue (40%), Adjusted EBITDA (30%), Adjusted EPS (20%), and Net Promoter</w:t>
            </w:r>
          </w:p>
        </w:tc>
      </w:tr>
      <w:tr>
        <w:trPr>
          <w:trHeight w:val="216"/>
        </w:trPr>
        <w:tc>
          <w:tcPr>
            <w:tcW w:w="210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Score (10%).</w:t>
            </w:r>
          </w:p>
        </w:tc>
      </w:tr>
      <w:tr>
        <w:trPr>
          <w:trHeight w:val="56"/>
        </w:trPr>
        <w:tc>
          <w:tcPr>
            <w:tcW w:w="2100" w:type="dxa"/>
            <w:vAlign w:val="bottom"/>
            <w:tcBorders>
              <w:bottom w:val="single" w:sz="8" w:color="E6E6E6"/>
            </w:tcBorders>
          </w:tcPr>
          <w:p>
            <w:pPr>
              <w:spacing w:after="0"/>
              <w:rPr>
                <w:sz w:val="4"/>
                <w:szCs w:val="4"/>
                <w:color w:val="auto"/>
              </w:rPr>
            </w:pPr>
          </w:p>
        </w:tc>
        <w:tc>
          <w:tcPr>
            <w:tcW w:w="6660" w:type="dxa"/>
            <w:vAlign w:val="bottom"/>
            <w:tcBorders>
              <w:bottom w:val="single" w:sz="8" w:color="E6E6E6"/>
            </w:tcBorders>
          </w:tcPr>
          <w:p>
            <w:pPr>
              <w:spacing w:after="0"/>
              <w:rPr>
                <w:sz w:val="4"/>
                <w:szCs w:val="4"/>
                <w:color w:val="auto"/>
              </w:rPr>
            </w:pPr>
          </w:p>
        </w:tc>
      </w:tr>
      <w:tr>
        <w:trPr>
          <w:trHeight w:val="263"/>
        </w:trPr>
        <w:tc>
          <w:tcPr>
            <w:tcW w:w="2100" w:type="dxa"/>
            <w:vAlign w:val="bottom"/>
            <w:shd w:val="clear" w:color="auto" w:fill="EDFAEC"/>
          </w:tcPr>
          <w:p>
            <w:pPr>
              <w:ind w:left="80"/>
              <w:spacing w:after="0"/>
              <w:rPr>
                <w:sz w:val="20"/>
                <w:szCs w:val="20"/>
                <w:color w:val="auto"/>
              </w:rPr>
            </w:pPr>
            <w:r>
              <w:rPr>
                <w:rFonts w:ascii="Arial" w:cs="Arial" w:eastAsia="Arial" w:hAnsi="Arial"/>
                <w:sz w:val="16"/>
                <w:szCs w:val="16"/>
                <w:b w:val="1"/>
                <w:bCs w:val="1"/>
                <w:color w:val="auto"/>
              </w:rPr>
              <w:t>RSUs</w:t>
            </w:r>
          </w:p>
        </w:tc>
        <w:tc>
          <w:tcPr>
            <w:tcW w:w="6660" w:type="dxa"/>
            <w:vAlign w:val="bottom"/>
            <w:shd w:val="clear" w:color="auto" w:fill="EDFAEC"/>
          </w:tcPr>
          <w:p>
            <w:pPr>
              <w:ind w:left="40"/>
              <w:spacing w:after="0"/>
              <w:rPr>
                <w:sz w:val="20"/>
                <w:szCs w:val="20"/>
                <w:color w:val="auto"/>
              </w:rPr>
            </w:pPr>
            <w:r>
              <w:rPr>
                <w:rFonts w:ascii="Arial" w:cs="Arial" w:eastAsia="Arial" w:hAnsi="Arial"/>
                <w:sz w:val="16"/>
                <w:szCs w:val="16"/>
                <w:color w:val="auto"/>
              </w:rPr>
              <w:t>Time-based restricted stock units help to tie our NEOs’ long-term financial interests to the</w:t>
            </w:r>
          </w:p>
        </w:tc>
      </w:tr>
      <w:tr>
        <w:trPr>
          <w:trHeight w:val="215"/>
        </w:trPr>
        <w:tc>
          <w:tcPr>
            <w:tcW w:w="2100" w:type="dxa"/>
            <w:vAlign w:val="bottom"/>
            <w:shd w:val="clear" w:color="auto" w:fill="EDFAEC"/>
          </w:tcPr>
          <w:p>
            <w:pPr>
              <w:spacing w:after="0"/>
              <w:rPr>
                <w:sz w:val="18"/>
                <w:szCs w:val="18"/>
                <w:color w:val="auto"/>
              </w:rPr>
            </w:pPr>
          </w:p>
        </w:tc>
        <w:tc>
          <w:tcPr>
            <w:tcW w:w="6660" w:type="dxa"/>
            <w:vAlign w:val="bottom"/>
            <w:shd w:val="clear" w:color="auto" w:fill="EDFAEC"/>
          </w:tcPr>
          <w:p>
            <w:pPr>
              <w:ind w:left="40"/>
              <w:spacing w:after="0"/>
              <w:rPr>
                <w:sz w:val="20"/>
                <w:szCs w:val="20"/>
                <w:color w:val="auto"/>
              </w:rPr>
            </w:pPr>
            <w:r>
              <w:rPr>
                <w:rFonts w:ascii="Arial" w:cs="Arial" w:eastAsia="Arial" w:hAnsi="Arial"/>
                <w:sz w:val="16"/>
                <w:szCs w:val="16"/>
                <w:color w:val="auto"/>
              </w:rPr>
              <w:t>Company’s stock price performance and to the long-term financial interests of</w:t>
            </w:r>
          </w:p>
        </w:tc>
      </w:tr>
      <w:tr>
        <w:trPr>
          <w:trHeight w:val="204"/>
        </w:trPr>
        <w:tc>
          <w:tcPr>
            <w:tcW w:w="2100" w:type="dxa"/>
            <w:vAlign w:val="bottom"/>
            <w:shd w:val="clear" w:color="auto" w:fill="EDFAEC"/>
          </w:tcPr>
          <w:p>
            <w:pPr>
              <w:spacing w:after="0"/>
              <w:rPr>
                <w:sz w:val="17"/>
                <w:szCs w:val="17"/>
                <w:color w:val="auto"/>
              </w:rPr>
            </w:pPr>
          </w:p>
        </w:tc>
        <w:tc>
          <w:tcPr>
            <w:tcW w:w="6660" w:type="dxa"/>
            <w:vAlign w:val="bottom"/>
            <w:shd w:val="clear" w:color="auto" w:fill="EDFAEC"/>
          </w:tcPr>
          <w:p>
            <w:pPr>
              <w:ind w:left="40"/>
              <w:spacing w:after="0"/>
              <w:rPr>
                <w:sz w:val="20"/>
                <w:szCs w:val="20"/>
                <w:color w:val="auto"/>
              </w:rPr>
            </w:pPr>
            <w:r>
              <w:rPr>
                <w:rFonts w:ascii="Arial" w:cs="Arial" w:eastAsia="Arial" w:hAnsi="Arial"/>
                <w:sz w:val="16"/>
                <w:szCs w:val="16"/>
                <w:color w:val="auto"/>
              </w:rPr>
              <w:t>shareholders, as well as to retain key executives through the three-year vesting period and</w:t>
            </w:r>
          </w:p>
        </w:tc>
      </w:tr>
      <w:tr>
        <w:trPr>
          <w:trHeight w:val="276"/>
        </w:trPr>
        <w:tc>
          <w:tcPr>
            <w:tcW w:w="2100" w:type="dxa"/>
            <w:vAlign w:val="bottom"/>
            <w:tcBorders>
              <w:bottom w:val="single" w:sz="8" w:color="EDFAEC"/>
            </w:tcBorders>
            <w:shd w:val="clear" w:color="auto" w:fill="EDFAEC"/>
          </w:tcPr>
          <w:p>
            <w:pPr>
              <w:spacing w:after="0"/>
              <w:rPr>
                <w:sz w:val="23"/>
                <w:szCs w:val="23"/>
                <w:color w:val="auto"/>
              </w:rPr>
            </w:pPr>
          </w:p>
        </w:tc>
        <w:tc>
          <w:tcPr>
            <w:tcW w:w="6660" w:type="dxa"/>
            <w:vAlign w:val="bottom"/>
            <w:tcBorders>
              <w:bottom w:val="single" w:sz="8" w:color="EDFAEC"/>
            </w:tcBorders>
            <w:shd w:val="clear" w:color="auto" w:fill="EDFAEC"/>
          </w:tcPr>
          <w:p>
            <w:pPr>
              <w:ind w:left="40"/>
              <w:spacing w:after="0"/>
              <w:rPr>
                <w:sz w:val="20"/>
                <w:szCs w:val="20"/>
                <w:color w:val="auto"/>
              </w:rPr>
            </w:pPr>
            <w:r>
              <w:rPr>
                <w:rFonts w:ascii="Arial" w:cs="Arial" w:eastAsia="Arial" w:hAnsi="Arial"/>
                <w:sz w:val="16"/>
                <w:szCs w:val="16"/>
                <w:color w:val="auto"/>
              </w:rPr>
              <w:t>maintain a market-competitive position for total compensation.</w:t>
            </w:r>
          </w:p>
        </w:tc>
      </w:tr>
      <w:tr>
        <w:trPr>
          <w:trHeight w:val="263"/>
        </w:trPr>
        <w:tc>
          <w:tcPr>
            <w:tcW w:w="2100" w:type="dxa"/>
            <w:vAlign w:val="bottom"/>
            <w:tcBorders>
              <w:top w:val="single" w:sz="8" w:color="E6E6E6"/>
            </w:tcBorders>
          </w:tcPr>
          <w:p>
            <w:pPr>
              <w:ind w:left="80"/>
              <w:spacing w:after="0"/>
              <w:rPr>
                <w:sz w:val="20"/>
                <w:szCs w:val="20"/>
                <w:color w:val="auto"/>
              </w:rPr>
            </w:pPr>
            <w:r>
              <w:rPr>
                <w:rFonts w:ascii="Arial" w:cs="Arial" w:eastAsia="Arial" w:hAnsi="Arial"/>
                <w:sz w:val="16"/>
                <w:szCs w:val="16"/>
                <w:b w:val="1"/>
                <w:bCs w:val="1"/>
                <w:color w:val="auto"/>
              </w:rPr>
              <w:t>PSUs</w:t>
            </w:r>
          </w:p>
        </w:tc>
        <w:tc>
          <w:tcPr>
            <w:tcW w:w="6660" w:type="dxa"/>
            <w:vAlign w:val="bottom"/>
            <w:tcBorders>
              <w:top w:val="single" w:sz="8" w:color="E6E6E6"/>
            </w:tcBorders>
          </w:tcPr>
          <w:p>
            <w:pPr>
              <w:ind w:left="40"/>
              <w:spacing w:after="0"/>
              <w:rPr>
                <w:sz w:val="20"/>
                <w:szCs w:val="20"/>
                <w:color w:val="auto"/>
              </w:rPr>
            </w:pPr>
            <w:r>
              <w:rPr>
                <w:rFonts w:ascii="Arial" w:cs="Arial" w:eastAsia="Arial" w:hAnsi="Arial"/>
                <w:sz w:val="16"/>
                <w:szCs w:val="16"/>
                <w:color w:val="auto"/>
              </w:rPr>
              <w:t>Performance stock units motivate our NEOs to achieve results in selected metrics that drive</w:t>
            </w:r>
          </w:p>
        </w:tc>
      </w:tr>
      <w:tr>
        <w:trPr>
          <w:trHeight w:val="215"/>
        </w:trPr>
        <w:tc>
          <w:tcPr>
            <w:tcW w:w="210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the Company’s financial performance and help tie our NEOs’ long-term financial interests</w:t>
            </w:r>
          </w:p>
        </w:tc>
      </w:tr>
      <w:tr>
        <w:trPr>
          <w:trHeight w:val="204"/>
        </w:trPr>
        <w:tc>
          <w:tcPr>
            <w:tcW w:w="2100" w:type="dxa"/>
            <w:vAlign w:val="bottom"/>
          </w:tcPr>
          <w:p>
            <w:pPr>
              <w:spacing w:after="0"/>
              <w:rPr>
                <w:sz w:val="17"/>
                <w:szCs w:val="17"/>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to the long-term financial interests of shareholders, as well as to retain key executives</w:t>
            </w:r>
          </w:p>
        </w:tc>
      </w:tr>
      <w:tr>
        <w:trPr>
          <w:trHeight w:val="215"/>
        </w:trPr>
        <w:tc>
          <w:tcPr>
            <w:tcW w:w="210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through the three-year vesting period and maintain a market-competitive position for</w:t>
            </w:r>
          </w:p>
        </w:tc>
      </w:tr>
      <w:tr>
        <w:trPr>
          <w:trHeight w:val="216"/>
        </w:trPr>
        <w:tc>
          <w:tcPr>
            <w:tcW w:w="210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total compensation.</w:t>
            </w:r>
          </w:p>
        </w:tc>
      </w:tr>
      <w:tr>
        <w:trPr>
          <w:trHeight w:val="366"/>
        </w:trPr>
        <w:tc>
          <w:tcPr>
            <w:tcW w:w="2100" w:type="dxa"/>
            <w:vAlign w:val="bottom"/>
          </w:tcPr>
          <w:p>
            <w:pPr>
              <w:spacing w:after="0"/>
              <w:rPr>
                <w:sz w:val="24"/>
                <w:szCs w:val="24"/>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The performance measures and their relative weighting for the 2025 PSU awards were: an</w:t>
            </w:r>
          </w:p>
        </w:tc>
      </w:tr>
      <w:tr>
        <w:trPr>
          <w:trHeight w:val="215"/>
        </w:trPr>
        <w:tc>
          <w:tcPr>
            <w:tcW w:w="210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Adjusted Revenue Growth metric (50%) and an Adjusted EPS Growth metric (50%). The</w:t>
            </w:r>
          </w:p>
        </w:tc>
      </w:tr>
      <w:tr>
        <w:trPr>
          <w:trHeight w:val="204"/>
        </w:trPr>
        <w:tc>
          <w:tcPr>
            <w:tcW w:w="2100" w:type="dxa"/>
            <w:vAlign w:val="bottom"/>
          </w:tcPr>
          <w:p>
            <w:pPr>
              <w:spacing w:after="0"/>
              <w:rPr>
                <w:sz w:val="17"/>
                <w:szCs w:val="17"/>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PSUs also include a total shareholder return (“TSR”) modifier based on the Company’s</w:t>
            </w:r>
          </w:p>
        </w:tc>
      </w:tr>
      <w:tr>
        <w:trPr>
          <w:trHeight w:val="215"/>
        </w:trPr>
        <w:tc>
          <w:tcPr>
            <w:tcW w:w="210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6"/>
                <w:szCs w:val="16"/>
                <w:color w:val="auto"/>
              </w:rPr>
              <w:t>relative TSR measured against the S&amp;P 500 Index.</w:t>
            </w:r>
          </w:p>
        </w:tc>
      </w:tr>
      <w:tr>
        <w:trPr>
          <w:trHeight w:val="69"/>
        </w:trPr>
        <w:tc>
          <w:tcPr>
            <w:tcW w:w="2100" w:type="dxa"/>
            <w:vAlign w:val="bottom"/>
            <w:tcBorders>
              <w:bottom w:val="single" w:sz="8" w:color="431C5B"/>
            </w:tcBorders>
          </w:tcPr>
          <w:p>
            <w:pPr>
              <w:spacing w:after="0"/>
              <w:rPr>
                <w:sz w:val="6"/>
                <w:szCs w:val="6"/>
                <w:color w:val="auto"/>
              </w:rPr>
            </w:pPr>
          </w:p>
        </w:tc>
        <w:tc>
          <w:tcPr>
            <w:tcW w:w="6660" w:type="dxa"/>
            <w:vAlign w:val="bottom"/>
            <w:tcBorders>
              <w:bottom w:val="single" w:sz="8" w:color="431C5B"/>
            </w:tcBorders>
          </w:tcPr>
          <w:p>
            <w:pPr>
              <w:spacing w:after="0"/>
              <w:rPr>
                <w:sz w:val="6"/>
                <w:szCs w:val="6"/>
                <w:color w:val="auto"/>
              </w:rPr>
            </w:pPr>
          </w:p>
        </w:tc>
      </w:tr>
    </w:tbl>
    <w:p>
      <w:pPr>
        <w:spacing w:after="0" w:line="188" w:lineRule="exact"/>
        <w:rPr>
          <w:sz w:val="20"/>
          <w:szCs w:val="20"/>
          <w:color w:val="auto"/>
        </w:rPr>
      </w:pPr>
    </w:p>
    <w:p>
      <w:pPr>
        <w:ind w:left="140" w:right="199"/>
        <w:spacing w:after="0" w:line="256" w:lineRule="auto"/>
        <w:rPr>
          <w:sz w:val="20"/>
          <w:szCs w:val="20"/>
          <w:color w:val="auto"/>
        </w:rPr>
      </w:pPr>
      <w:r>
        <w:rPr>
          <w:rFonts w:ascii="Arial" w:cs="Arial" w:eastAsia="Arial" w:hAnsi="Arial"/>
          <w:sz w:val="16"/>
          <w:szCs w:val="16"/>
          <w:color w:val="auto"/>
        </w:rPr>
        <w:t>A significant component of the NEOs’ compensation (94.5% for the CEO and 87.4% for the other NEOs on average) is at-risk compensation, with the value of such compensation fluctuating based on performance against pre-established performance metrics and/or our stock price. Approximately 65.8% of Ms. Ferris’ 2025 target compensation and 56.4% (on average) of our other NEOs’ 2025 target compensation were based on performance-based cash and performance-based equity incentives that are tied to our financial performance, stock price growth and TSR.</w:t>
      </w:r>
    </w:p>
    <w:p>
      <w:pPr>
        <w:spacing w:after="0" w:line="180" w:lineRule="exact"/>
        <w:rPr>
          <w:sz w:val="20"/>
          <w:szCs w:val="20"/>
          <w:color w:val="auto"/>
        </w:rPr>
      </w:pPr>
    </w:p>
    <w:p>
      <w:pPr>
        <w:ind w:left="200"/>
        <w:spacing w:after="0"/>
        <w:tabs>
          <w:tab w:leader="none" w:pos="4640" w:val="left"/>
        </w:tabs>
        <w:rPr>
          <w:sz w:val="20"/>
          <w:szCs w:val="20"/>
          <w:color w:val="auto"/>
        </w:rPr>
      </w:pPr>
      <w:r>
        <w:rPr>
          <w:rFonts w:ascii="Arial" w:cs="Arial" w:eastAsia="Arial" w:hAnsi="Arial"/>
          <w:sz w:val="16"/>
          <w:szCs w:val="16"/>
          <w:b w:val="1"/>
          <w:bCs w:val="1"/>
          <w:color w:val="431C5B"/>
        </w:rPr>
        <w:t>CEO 2025 TARGET*</w:t>
      </w:r>
      <w:r>
        <w:rPr>
          <w:sz w:val="20"/>
          <w:szCs w:val="20"/>
          <w:color w:val="auto"/>
        </w:rPr>
        <w:tab/>
      </w:r>
      <w:r>
        <w:rPr>
          <w:rFonts w:ascii="Arial" w:cs="Arial" w:eastAsia="Arial" w:hAnsi="Arial"/>
          <w:sz w:val="15"/>
          <w:szCs w:val="15"/>
          <w:b w:val="1"/>
          <w:bCs w:val="1"/>
          <w:color w:val="431C5B"/>
        </w:rPr>
        <w:t>AVERAGE NEO 2025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Base Salary                </w:t>
      </w:r>
      <w:r>
        <w:rPr>
          <w:sz w:val="1"/>
          <w:szCs w:val="1"/>
          <w:color w:val="auto"/>
        </w:rPr>
        <w:drawing>
          <wp:inline distT="0" distB="0" distL="0" distR="0">
            <wp:extent cx="94615" cy="9461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4"/>
          <w:szCs w:val="14"/>
          <w:color w:val="auto"/>
        </w:rPr>
        <w:t xml:space="preserve">  Performance-Based Cash     </w:t>
      </w:r>
      <w:r>
        <w:rPr>
          <w:sz w:val="1"/>
          <w:szCs w:val="1"/>
          <w:color w:val="auto"/>
        </w:rPr>
        <w:drawing>
          <wp:inline distT="0" distB="0" distL="0" distR="0">
            <wp:extent cx="94615" cy="9461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4"/>
          <w:szCs w:val="14"/>
          <w:color w:val="auto"/>
        </w:rPr>
        <w:t xml:space="preserve">  Base Salary                </w:t>
      </w:r>
      <w:r>
        <w:rPr>
          <w:sz w:val="1"/>
          <w:szCs w:val="1"/>
          <w:color w:val="auto"/>
        </w:rPr>
        <w:drawing>
          <wp:inline distT="0" distB="0" distL="0" distR="0">
            <wp:extent cx="93980" cy="9461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4"/>
          <w:szCs w:val="14"/>
          <w:color w:val="auto"/>
        </w:rPr>
        <w:t xml:space="preserve">  Performance-Based Cash</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Performance-Based Equity    </w:t>
      </w:r>
      <w:r>
        <w:rPr>
          <w:sz w:val="1"/>
          <w:szCs w:val="1"/>
          <w:color w:val="auto"/>
        </w:rPr>
        <w:drawing>
          <wp:inline distT="0" distB="0" distL="0" distR="0">
            <wp:extent cx="94615" cy="9461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4"/>
          <w:szCs w:val="14"/>
          <w:color w:val="auto"/>
        </w:rPr>
        <w:t xml:space="preserve">  Time-Based Equity          </w:t>
      </w:r>
      <w:r>
        <w:rPr>
          <w:sz w:val="1"/>
          <w:szCs w:val="1"/>
          <w:color w:val="auto"/>
        </w:rPr>
        <w:drawing>
          <wp:inline distT="0" distB="0" distL="0" distR="0">
            <wp:extent cx="94615" cy="9461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4"/>
          <w:szCs w:val="14"/>
          <w:color w:val="auto"/>
        </w:rPr>
        <w:t xml:space="preserve">  Performance-Based Equity    </w:t>
      </w:r>
      <w:r>
        <w:rPr>
          <w:sz w:val="1"/>
          <w:szCs w:val="1"/>
          <w:color w:val="auto"/>
        </w:rPr>
        <w:drawing>
          <wp:inline distT="0" distB="0" distL="0" distR="0">
            <wp:extent cx="93980" cy="9461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4"/>
          <w:szCs w:val="14"/>
          <w:color w:val="auto"/>
        </w:rPr>
        <w:t xml:space="preserve">  Time-Based Equity</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57</w:t>
      </w:r>
    </w:p>
    <w:p>
      <w:pPr>
        <w:sectPr>
          <w:pgSz w:w="11900" w:h="16838" w:orient="portrait"/>
          <w:cols w:equalWidth="0" w:num="1">
            <w:col w:w="9019"/>
          </w:cols>
          <w:pgMar w:left="1440" w:top="657" w:right="1440" w:bottom="1440" w:gutter="0" w:footer="0" w:header="0"/>
          <w:type w:val="continuous"/>
        </w:sectPr>
      </w:pPr>
    </w:p>
    <w:bookmarkStart w:id="60" w:name="page61"/>
    <w:bookmarkEnd w:id="60"/>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2025 Total Compensation</w:t>
      </w:r>
    </w:p>
    <w:p>
      <w:pPr>
        <w:spacing w:after="0" w:line="107" w:lineRule="exact"/>
        <w:rPr>
          <w:sz w:val="20"/>
          <w:szCs w:val="20"/>
          <w:color w:val="auto"/>
        </w:rPr>
      </w:pPr>
    </w:p>
    <w:p>
      <w:pPr>
        <w:ind w:left="140" w:right="199"/>
        <w:spacing w:after="0" w:line="280" w:lineRule="auto"/>
        <w:rPr>
          <w:sz w:val="20"/>
          <w:szCs w:val="20"/>
          <w:color w:val="auto"/>
        </w:rPr>
      </w:pPr>
      <w:r>
        <w:rPr>
          <w:rFonts w:ascii="Arial" w:cs="Arial" w:eastAsia="Arial" w:hAnsi="Arial"/>
          <w:sz w:val="16"/>
          <w:szCs w:val="16"/>
          <w:color w:val="auto"/>
        </w:rPr>
        <w:t>The allocation of our NEOs’ compensation among the various compensation elements from year to year is not formulaic. Instead, it reflects our Compensation Committee’s business judgment regarding the best allocation of compensation based on a number of objective and subjective factors, including marketplace data provided by our Compensation Committee’s independent compensation consultant; the challenges facing FIS in the industry and market environment; an assessment of each executive’s level of responsibility; the individual skills, experience and contribution of each executive; and the ability of each executive to impact company-wide performance and create long-term shareholder value. In recent years the Compensation Committee has also considered the stage the Company has reached in achieving its strategic transformation and the allocation and design features that it considers best suited to continue to advance that transformation.</w:t>
      </w:r>
    </w:p>
    <w:p>
      <w:pPr>
        <w:spacing w:after="0" w:line="120" w:lineRule="exact"/>
        <w:rPr>
          <w:sz w:val="20"/>
          <w:szCs w:val="20"/>
          <w:color w:val="auto"/>
        </w:rPr>
      </w:pPr>
    </w:p>
    <w:p>
      <w:pPr>
        <w:ind w:left="140" w:right="139"/>
        <w:spacing w:after="0" w:line="278" w:lineRule="auto"/>
        <w:rPr>
          <w:sz w:val="20"/>
          <w:szCs w:val="20"/>
          <w:color w:val="auto"/>
        </w:rPr>
      </w:pPr>
      <w:r>
        <w:rPr>
          <w:rFonts w:ascii="Arial" w:cs="Arial" w:eastAsia="Arial" w:hAnsi="Arial"/>
          <w:sz w:val="16"/>
          <w:szCs w:val="16"/>
          <w:color w:val="auto"/>
        </w:rPr>
        <w:t>In early 2025, the Compensation Committee approved increases in Ms. Ferris’ base salary, target opportunity under the annual cash incentive program and target long-term incentive compensation award, in the amounts described in more detail in the following sections. These increases were awarded following a market comparison of Ms. Ferris’ total compensation relative to our compensation peer group and in recognition of her strong performance, the significant progress made by the Company in its strategic transformation, the extensive effort required to lead the continuing transformation, and the need to incentivize long-term value creation for our shareholders. The Compensation Committee firmly believes that Ms. Ferris is the right person to lead our ongoing transformation. In light of these factors, the Compensation Committee considered it appropriate for Ms. Ferris to have a total target compensation slightly above the peer group median. At the same time, the Compensation Committee believed that it was important for the large majority of Ms. Ferris’ compensation increase to be in the form of long-term incentive compensation, in order to incentivize long-term value creation and to enhance retention. Accordingly, 88% of the increase in Ms. Ferris’ total target compensation was in the form of equity compensation (of which approximately 66% is linked to long-term performance goals), reinforcing the link between compensation, long-term performance and the shareholder experience. After these adjustments, Ms. Ferris’ base salary and target bonus opportunity were each in line with the peer group median, and the target value of her long-term incentive compensation was slightly above the peer group median.</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Compensation Process</w:t>
      </w:r>
    </w:p>
    <w:p>
      <w:pPr>
        <w:spacing w:after="0" w:line="24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Base Salary</w:t>
      </w:r>
    </w:p>
    <w:p>
      <w:pPr>
        <w:spacing w:after="0" w:line="87"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Although the emphasis of our compensation program is on performance-based, at-risk pay, we provide our NEOs with base salaries that are intended to provide a level of regularly paid, cash compensation that is competitive and reasonable. Our Compensation Committee reviews salary levels annually as part of our performance review process, as well as in the event of promotions or other changes in our NEOs’ positions or responsibilities. When establishing base salary levels, our Compensation Committee considers the peer group and market compensation data provided by the Compensation Committee’s independent compensation consultant, as well as qualitative factors, including the NEO’s experience, knowledge, skills, level of responsibility and performance.</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80" w:type="dxa"/>
            <w:vAlign w:val="bottom"/>
          </w:tcPr>
          <w:p>
            <w:pPr>
              <w:jc w:val="right"/>
              <w:ind w:right="82"/>
              <w:spacing w:after="0"/>
              <w:rPr>
                <w:sz w:val="20"/>
                <w:szCs w:val="20"/>
                <w:color w:val="auto"/>
              </w:rPr>
            </w:pPr>
            <w:r>
              <w:rPr>
                <w:rFonts w:ascii="Arial" w:cs="Arial" w:eastAsia="Arial" w:hAnsi="Arial"/>
                <w:sz w:val="14"/>
                <w:szCs w:val="14"/>
                <w:b w:val="1"/>
                <w:bCs w:val="1"/>
                <w:color w:val="431C5B"/>
              </w:rPr>
              <w:t>2024 Base</w:t>
            </w:r>
          </w:p>
        </w:tc>
        <w:tc>
          <w:tcPr>
            <w:tcW w:w="240" w:type="dxa"/>
            <w:vAlign w:val="bottom"/>
          </w:tcPr>
          <w:p>
            <w:pPr>
              <w:spacing w:after="0"/>
              <w:rPr>
                <w:sz w:val="15"/>
                <w:szCs w:val="15"/>
                <w:color w:val="auto"/>
              </w:rPr>
            </w:pPr>
          </w:p>
        </w:tc>
        <w:tc>
          <w:tcPr>
            <w:tcW w:w="880" w:type="dxa"/>
            <w:vAlign w:val="bottom"/>
          </w:tcPr>
          <w:p>
            <w:pPr>
              <w:jc w:val="right"/>
              <w:ind w:right="82"/>
              <w:spacing w:after="0"/>
              <w:rPr>
                <w:sz w:val="20"/>
                <w:szCs w:val="20"/>
                <w:color w:val="auto"/>
              </w:rPr>
            </w:pPr>
            <w:r>
              <w:rPr>
                <w:rFonts w:ascii="Arial" w:cs="Arial" w:eastAsia="Arial" w:hAnsi="Arial"/>
                <w:sz w:val="14"/>
                <w:szCs w:val="14"/>
                <w:b w:val="1"/>
                <w:bCs w:val="1"/>
                <w:color w:val="431C5B"/>
              </w:rPr>
              <w:t>2025 Base</w:t>
            </w:r>
          </w:p>
        </w:tc>
        <w:tc>
          <w:tcPr>
            <w:tcW w:w="800" w:type="dxa"/>
            <w:vAlign w:val="bottom"/>
          </w:tcPr>
          <w:p>
            <w:pPr>
              <w:spacing w:after="0"/>
              <w:rPr>
                <w:sz w:val="15"/>
                <w:szCs w:val="15"/>
                <w:color w:val="auto"/>
              </w:rPr>
            </w:pPr>
          </w:p>
        </w:tc>
      </w:tr>
      <w:tr>
        <w:trPr>
          <w:trHeight w:val="171"/>
        </w:trPr>
        <w:tc>
          <w:tcPr>
            <w:tcW w:w="376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NEO</w:t>
            </w:r>
          </w:p>
        </w:tc>
        <w:tc>
          <w:tcPr>
            <w:tcW w:w="2200" w:type="dxa"/>
            <w:vAlign w:val="bottom"/>
            <w:tcBorders>
              <w:bottom w:val="single" w:sz="8" w:color="431C5B"/>
            </w:tcBorders>
          </w:tcPr>
          <w:p>
            <w:pPr>
              <w:spacing w:after="0"/>
              <w:rPr>
                <w:sz w:val="14"/>
                <w:szCs w:val="14"/>
                <w:color w:val="auto"/>
              </w:rPr>
            </w:pPr>
          </w:p>
        </w:tc>
        <w:tc>
          <w:tcPr>
            <w:tcW w:w="880" w:type="dxa"/>
            <w:vAlign w:val="bottom"/>
            <w:tcBorders>
              <w:bottom w:val="single" w:sz="8" w:color="431C5B"/>
            </w:tcBorders>
          </w:tcPr>
          <w:p>
            <w:pPr>
              <w:jc w:val="right"/>
              <w:ind w:right="82"/>
              <w:spacing w:after="0"/>
              <w:rPr>
                <w:sz w:val="20"/>
                <w:szCs w:val="20"/>
                <w:color w:val="auto"/>
              </w:rPr>
            </w:pPr>
            <w:r>
              <w:rPr>
                <w:rFonts w:ascii="Arial" w:cs="Arial" w:eastAsia="Arial" w:hAnsi="Arial"/>
                <w:sz w:val="14"/>
                <w:szCs w:val="14"/>
                <w:b w:val="1"/>
                <w:bCs w:val="1"/>
                <w:color w:val="431C5B"/>
              </w:rPr>
              <w:t>Salary</w:t>
            </w:r>
          </w:p>
        </w:tc>
        <w:tc>
          <w:tcPr>
            <w:tcW w:w="240" w:type="dxa"/>
            <w:vAlign w:val="bottom"/>
            <w:tcBorders>
              <w:bottom w:val="single" w:sz="8" w:color="431C5B"/>
            </w:tcBorders>
          </w:tcPr>
          <w:p>
            <w:pPr>
              <w:spacing w:after="0"/>
              <w:rPr>
                <w:sz w:val="14"/>
                <w:szCs w:val="14"/>
                <w:color w:val="auto"/>
              </w:rPr>
            </w:pPr>
          </w:p>
        </w:tc>
        <w:tc>
          <w:tcPr>
            <w:tcW w:w="880" w:type="dxa"/>
            <w:vAlign w:val="bottom"/>
            <w:tcBorders>
              <w:bottom w:val="single" w:sz="8" w:color="431C5B"/>
            </w:tcBorders>
          </w:tcPr>
          <w:p>
            <w:pPr>
              <w:jc w:val="right"/>
              <w:ind w:right="82"/>
              <w:spacing w:after="0"/>
              <w:rPr>
                <w:sz w:val="20"/>
                <w:szCs w:val="20"/>
                <w:color w:val="auto"/>
              </w:rPr>
            </w:pPr>
            <w:r>
              <w:rPr>
                <w:rFonts w:ascii="Arial" w:cs="Arial" w:eastAsia="Arial" w:hAnsi="Arial"/>
                <w:sz w:val="14"/>
                <w:szCs w:val="14"/>
                <w:b w:val="1"/>
                <w:bCs w:val="1"/>
                <w:color w:val="431C5B"/>
              </w:rPr>
              <w:t>Salary</w:t>
            </w:r>
          </w:p>
        </w:tc>
        <w:tc>
          <w:tcPr>
            <w:tcW w:w="80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Increase</w:t>
            </w:r>
          </w:p>
        </w:tc>
      </w:tr>
      <w:tr>
        <w:trPr>
          <w:trHeight w:val="210"/>
        </w:trPr>
        <w:tc>
          <w:tcPr>
            <w:tcW w:w="3760" w:type="dxa"/>
            <w:vAlign w:val="bottom"/>
            <w:tcBorders>
              <w:bottom w:val="single" w:sz="8" w:color="E6E6E6"/>
            </w:tcBorders>
            <w:shd w:val="clear" w:color="auto" w:fill="EEFAEC"/>
          </w:tcPr>
          <w:p>
            <w:pPr>
              <w:ind w:left="80"/>
              <w:spacing w:after="0" w:line="210" w:lineRule="exact"/>
              <w:rPr>
                <w:sz w:val="20"/>
                <w:szCs w:val="20"/>
                <w:color w:val="auto"/>
              </w:rPr>
            </w:pPr>
            <w:r>
              <w:rPr>
                <w:rFonts w:ascii="Arial" w:cs="Arial" w:eastAsia="Arial" w:hAnsi="Arial"/>
                <w:sz w:val="16"/>
                <w:szCs w:val="16"/>
                <w:b w:val="1"/>
                <w:bCs w:val="1"/>
                <w:color w:val="431C5B"/>
              </w:rPr>
              <w:t>Stephanie L. Ferris</w:t>
            </w:r>
            <w:r>
              <w:rPr>
                <w:rFonts w:ascii="Arial" w:cs="Arial" w:eastAsia="Arial" w:hAnsi="Arial"/>
                <w:sz w:val="21"/>
                <w:szCs w:val="21"/>
                <w:b w:val="1"/>
                <w:bCs w:val="1"/>
                <w:color w:val="431C5B"/>
                <w:vertAlign w:val="superscript"/>
              </w:rPr>
              <w:t>(1)</w:t>
            </w:r>
          </w:p>
        </w:tc>
        <w:tc>
          <w:tcPr>
            <w:tcW w:w="3080" w:type="dxa"/>
            <w:vAlign w:val="bottom"/>
            <w:tcBorders>
              <w:bottom w:val="single" w:sz="8" w:color="E6E6E6"/>
            </w:tcBorders>
            <w:gridSpan w:val="2"/>
            <w:shd w:val="clear" w:color="auto" w:fill="EEFAEC"/>
          </w:tcPr>
          <w:p>
            <w:pPr>
              <w:jc w:val="right"/>
              <w:ind w:right="82"/>
              <w:spacing w:after="0"/>
              <w:rPr>
                <w:sz w:val="20"/>
                <w:szCs w:val="20"/>
                <w:color w:val="auto"/>
              </w:rPr>
            </w:pPr>
            <w:r>
              <w:rPr>
                <w:rFonts w:ascii="Arial" w:cs="Arial" w:eastAsia="Arial" w:hAnsi="Arial"/>
                <w:sz w:val="16"/>
                <w:szCs w:val="16"/>
                <w:color w:val="auto"/>
              </w:rPr>
              <w:t>$1,200,000</w:t>
            </w:r>
          </w:p>
        </w:tc>
        <w:tc>
          <w:tcPr>
            <w:tcW w:w="1120" w:type="dxa"/>
            <w:vAlign w:val="bottom"/>
            <w:tcBorders>
              <w:bottom w:val="single" w:sz="8" w:color="E6E6E6"/>
            </w:tcBorders>
            <w:gridSpan w:val="2"/>
            <w:shd w:val="clear" w:color="auto" w:fill="EEFAEC"/>
          </w:tcPr>
          <w:p>
            <w:pPr>
              <w:jc w:val="right"/>
              <w:ind w:right="82"/>
              <w:spacing w:after="0"/>
              <w:rPr>
                <w:sz w:val="20"/>
                <w:szCs w:val="20"/>
                <w:color w:val="auto"/>
              </w:rPr>
            </w:pPr>
            <w:r>
              <w:rPr>
                <w:rFonts w:ascii="Arial" w:cs="Arial" w:eastAsia="Arial" w:hAnsi="Arial"/>
                <w:sz w:val="16"/>
                <w:szCs w:val="16"/>
                <w:color w:val="auto"/>
              </w:rPr>
              <w:t>$1,250,000</w:t>
            </w:r>
          </w:p>
        </w:tc>
        <w:tc>
          <w:tcPr>
            <w:tcW w:w="8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376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James Kehoe</w:t>
            </w:r>
          </w:p>
        </w:tc>
        <w:tc>
          <w:tcPr>
            <w:tcW w:w="22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6E6E6"/>
            </w:tcBorders>
          </w:tcPr>
          <w:p>
            <w:pPr>
              <w:jc w:val="right"/>
              <w:ind w:right="102"/>
              <w:spacing w:after="0"/>
              <w:rPr>
                <w:sz w:val="20"/>
                <w:szCs w:val="20"/>
                <w:color w:val="auto"/>
              </w:rPr>
            </w:pPr>
            <w:r>
              <w:rPr>
                <w:rFonts w:ascii="Arial" w:cs="Arial" w:eastAsia="Arial" w:hAnsi="Arial"/>
                <w:sz w:val="16"/>
                <w:szCs w:val="16"/>
                <w:color w:val="auto"/>
              </w:rPr>
              <w:t>975,000</w:t>
            </w:r>
          </w:p>
        </w:tc>
        <w:tc>
          <w:tcPr>
            <w:tcW w:w="24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6E6E6"/>
            </w:tcBorders>
          </w:tcPr>
          <w:p>
            <w:pPr>
              <w:jc w:val="right"/>
              <w:ind w:right="102"/>
              <w:spacing w:after="0"/>
              <w:rPr>
                <w:sz w:val="20"/>
                <w:szCs w:val="20"/>
                <w:color w:val="auto"/>
              </w:rPr>
            </w:pPr>
            <w:r>
              <w:rPr>
                <w:rFonts w:ascii="Arial" w:cs="Arial" w:eastAsia="Arial" w:hAnsi="Arial"/>
                <w:sz w:val="16"/>
                <w:szCs w:val="16"/>
                <w:color w:val="auto"/>
              </w:rPr>
              <w:t>975,000</w:t>
            </w:r>
          </w:p>
        </w:tc>
        <w:tc>
          <w:tcPr>
            <w:tcW w:w="8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0%</w:t>
            </w:r>
          </w:p>
        </w:tc>
      </w:tr>
      <w:tr>
        <w:trPr>
          <w:trHeight w:val="209"/>
        </w:trPr>
        <w:tc>
          <w:tcPr>
            <w:tcW w:w="376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Firdaus Bhathena</w:t>
            </w:r>
          </w:p>
        </w:tc>
        <w:tc>
          <w:tcPr>
            <w:tcW w:w="22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6E6E6"/>
            </w:tcBorders>
            <w:shd w:val="clear" w:color="auto" w:fill="EEFAEC"/>
          </w:tcPr>
          <w:p>
            <w:pPr>
              <w:jc w:val="right"/>
              <w:ind w:right="102"/>
              <w:spacing w:after="0"/>
              <w:rPr>
                <w:sz w:val="20"/>
                <w:szCs w:val="20"/>
                <w:color w:val="auto"/>
              </w:rPr>
            </w:pPr>
            <w:r>
              <w:rPr>
                <w:rFonts w:ascii="Arial" w:cs="Arial" w:eastAsia="Arial" w:hAnsi="Arial"/>
                <w:sz w:val="16"/>
                <w:szCs w:val="16"/>
                <w:color w:val="auto"/>
              </w:rPr>
              <w:t>700,000</w:t>
            </w:r>
          </w:p>
        </w:tc>
        <w:tc>
          <w:tcPr>
            <w:tcW w:w="24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6E6E6"/>
            </w:tcBorders>
            <w:shd w:val="clear" w:color="auto" w:fill="EEFAEC"/>
          </w:tcPr>
          <w:p>
            <w:pPr>
              <w:jc w:val="right"/>
              <w:ind w:right="102"/>
              <w:spacing w:after="0"/>
              <w:rPr>
                <w:sz w:val="20"/>
                <w:szCs w:val="20"/>
                <w:color w:val="auto"/>
              </w:rPr>
            </w:pPr>
            <w:r>
              <w:rPr>
                <w:rFonts w:ascii="Arial" w:cs="Arial" w:eastAsia="Arial" w:hAnsi="Arial"/>
                <w:sz w:val="16"/>
                <w:szCs w:val="16"/>
                <w:color w:val="auto"/>
              </w:rPr>
              <w:t>700,000</w:t>
            </w:r>
          </w:p>
        </w:tc>
        <w:tc>
          <w:tcPr>
            <w:tcW w:w="8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0%</w:t>
            </w:r>
          </w:p>
        </w:tc>
      </w:tr>
      <w:tr>
        <w:trPr>
          <w:trHeight w:val="210"/>
        </w:trPr>
        <w:tc>
          <w:tcPr>
            <w:tcW w:w="376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Robert Toohey</w:t>
            </w:r>
          </w:p>
        </w:tc>
        <w:tc>
          <w:tcPr>
            <w:tcW w:w="22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6E6E6"/>
            </w:tcBorders>
          </w:tcPr>
          <w:p>
            <w:pPr>
              <w:jc w:val="right"/>
              <w:ind w:right="102"/>
              <w:spacing w:after="0"/>
              <w:rPr>
                <w:sz w:val="20"/>
                <w:szCs w:val="20"/>
                <w:color w:val="auto"/>
              </w:rPr>
            </w:pPr>
            <w:r>
              <w:rPr>
                <w:rFonts w:ascii="Arial" w:cs="Arial" w:eastAsia="Arial" w:hAnsi="Arial"/>
                <w:sz w:val="16"/>
                <w:szCs w:val="16"/>
                <w:color w:val="auto"/>
              </w:rPr>
              <w:t>700,000</w:t>
            </w:r>
          </w:p>
        </w:tc>
        <w:tc>
          <w:tcPr>
            <w:tcW w:w="24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6E6E6"/>
            </w:tcBorders>
          </w:tcPr>
          <w:p>
            <w:pPr>
              <w:jc w:val="right"/>
              <w:ind w:right="102"/>
              <w:spacing w:after="0"/>
              <w:rPr>
                <w:sz w:val="20"/>
                <w:szCs w:val="20"/>
                <w:color w:val="auto"/>
              </w:rPr>
            </w:pPr>
            <w:r>
              <w:rPr>
                <w:rFonts w:ascii="Arial" w:cs="Arial" w:eastAsia="Arial" w:hAnsi="Arial"/>
                <w:sz w:val="16"/>
                <w:szCs w:val="16"/>
                <w:color w:val="auto"/>
              </w:rPr>
              <w:t>700,000</w:t>
            </w:r>
          </w:p>
        </w:tc>
        <w:tc>
          <w:tcPr>
            <w:tcW w:w="8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0%</w:t>
            </w:r>
          </w:p>
        </w:tc>
      </w:tr>
      <w:tr>
        <w:trPr>
          <w:trHeight w:val="183"/>
        </w:trPr>
        <w:tc>
          <w:tcPr>
            <w:tcW w:w="3760" w:type="dxa"/>
            <w:vAlign w:val="bottom"/>
            <w:tcBorders>
              <w:bottom w:val="single" w:sz="8" w:color="431C5B"/>
            </w:tcBorders>
            <w:shd w:val="clear" w:color="auto" w:fill="EEFAEC"/>
          </w:tcPr>
          <w:p>
            <w:pPr>
              <w:ind w:left="80"/>
              <w:spacing w:after="0" w:line="183" w:lineRule="exact"/>
              <w:rPr>
                <w:sz w:val="20"/>
                <w:szCs w:val="20"/>
                <w:color w:val="auto"/>
              </w:rPr>
            </w:pPr>
            <w:r>
              <w:rPr>
                <w:rFonts w:ascii="Arial" w:cs="Arial" w:eastAsia="Arial" w:hAnsi="Arial"/>
                <w:sz w:val="16"/>
                <w:szCs w:val="16"/>
                <w:b w:val="1"/>
                <w:bCs w:val="1"/>
                <w:color w:val="431C5B"/>
              </w:rPr>
              <w:t>Caroline Tsai</w:t>
            </w:r>
            <w:r>
              <w:rPr>
                <w:rFonts w:ascii="Arial" w:cs="Arial" w:eastAsia="Arial" w:hAnsi="Arial"/>
                <w:sz w:val="21"/>
                <w:szCs w:val="21"/>
                <w:b w:val="1"/>
                <w:bCs w:val="1"/>
                <w:color w:val="431C5B"/>
                <w:vertAlign w:val="superscript"/>
              </w:rPr>
              <w:t>(2)</w:t>
            </w:r>
          </w:p>
        </w:tc>
        <w:tc>
          <w:tcPr>
            <w:tcW w:w="2200" w:type="dxa"/>
            <w:vAlign w:val="bottom"/>
            <w:tcBorders>
              <w:bottom w:val="single" w:sz="8" w:color="431C5B"/>
            </w:tcBorders>
            <w:shd w:val="clear" w:color="auto" w:fill="EEFAEC"/>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431C5B"/>
            </w:tcBorders>
            <w:shd w:val="clear" w:color="auto" w:fill="EEFAEC"/>
          </w:tcPr>
          <w:p>
            <w:pPr>
              <w:jc w:val="right"/>
              <w:ind w:right="102"/>
              <w:spacing w:after="0" w:line="183" w:lineRule="exact"/>
              <w:rPr>
                <w:sz w:val="20"/>
                <w:szCs w:val="20"/>
                <w:color w:val="auto"/>
              </w:rPr>
            </w:pPr>
            <w:r>
              <w:rPr>
                <w:rFonts w:ascii="Arial" w:cs="Arial" w:eastAsia="Arial" w:hAnsi="Arial"/>
                <w:sz w:val="16"/>
                <w:szCs w:val="16"/>
                <w:color w:val="auto"/>
              </w:rPr>
              <w:t>700,000</w:t>
            </w:r>
          </w:p>
        </w:tc>
        <w:tc>
          <w:tcPr>
            <w:tcW w:w="240" w:type="dxa"/>
            <w:vAlign w:val="bottom"/>
            <w:tcBorders>
              <w:bottom w:val="single" w:sz="8" w:color="431C5B"/>
            </w:tcBorders>
            <w:shd w:val="clear" w:color="auto" w:fill="EEFAEC"/>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431C5B"/>
            </w:tcBorders>
            <w:shd w:val="clear" w:color="auto" w:fill="EEFAEC"/>
          </w:tcPr>
          <w:p>
            <w:pPr>
              <w:jc w:val="right"/>
              <w:ind w:right="102"/>
              <w:spacing w:after="0" w:line="183" w:lineRule="exact"/>
              <w:rPr>
                <w:sz w:val="20"/>
                <w:szCs w:val="20"/>
                <w:color w:val="auto"/>
              </w:rPr>
            </w:pPr>
            <w:r>
              <w:rPr>
                <w:rFonts w:ascii="Arial" w:cs="Arial" w:eastAsia="Arial" w:hAnsi="Arial"/>
                <w:sz w:val="16"/>
                <w:szCs w:val="16"/>
                <w:color w:val="auto"/>
              </w:rPr>
              <w:t>700,000</w:t>
            </w:r>
          </w:p>
        </w:tc>
        <w:tc>
          <w:tcPr>
            <w:tcW w:w="800" w:type="dxa"/>
            <w:vAlign w:val="bottom"/>
            <w:tcBorders>
              <w:bottom w:val="single" w:sz="8" w:color="431C5B"/>
            </w:tcBorders>
            <w:shd w:val="clear" w:color="auto" w:fill="EEFAEC"/>
          </w:tcPr>
          <w:p>
            <w:pPr>
              <w:jc w:val="right"/>
              <w:spacing w:after="0" w:line="183" w:lineRule="exact"/>
              <w:rPr>
                <w:sz w:val="20"/>
                <w:szCs w:val="20"/>
                <w:color w:val="auto"/>
              </w:rPr>
            </w:pPr>
            <w:r>
              <w:rPr>
                <w:rFonts w:ascii="Arial" w:cs="Arial" w:eastAsia="Arial" w:hAnsi="Arial"/>
                <w:sz w:val="16"/>
                <w:szCs w:val="16"/>
                <w:color w:val="auto"/>
              </w:rPr>
              <w:t>0%</w:t>
            </w:r>
          </w:p>
        </w:tc>
      </w:tr>
    </w:tbl>
    <w:p>
      <w:pPr>
        <w:spacing w:after="0" w:line="198" w:lineRule="exact"/>
        <w:rPr>
          <w:sz w:val="20"/>
          <w:szCs w:val="20"/>
          <w:color w:val="auto"/>
        </w:rPr>
      </w:pPr>
    </w:p>
    <w:p>
      <w:pPr>
        <w:ind w:left="380" w:right="239" w:hanging="250"/>
        <w:spacing w:after="0" w:line="236" w:lineRule="auto"/>
        <w:tabs>
          <w:tab w:leader="none" w:pos="380" w:val="left"/>
        </w:tabs>
        <w:numPr>
          <w:ilvl w:val="0"/>
          <w:numId w:val="83"/>
        </w:numPr>
        <w:rPr>
          <w:rFonts w:ascii="Arial" w:cs="Arial" w:eastAsia="Arial" w:hAnsi="Arial"/>
          <w:sz w:val="16"/>
          <w:szCs w:val="16"/>
          <w:color w:val="auto"/>
          <w:vertAlign w:val="superscript"/>
        </w:rPr>
      </w:pPr>
      <w:r>
        <w:rPr>
          <w:rFonts w:ascii="Arial" w:cs="Arial" w:eastAsia="Arial" w:hAnsi="Arial"/>
          <w:sz w:val="13"/>
          <w:szCs w:val="13"/>
          <w:color w:val="auto"/>
        </w:rPr>
        <w:t>Ms. Ferris’ salary increase was effective January 1, 2025. Please see “2025 Total Compensation” for a discussion of the reasons for the Compensation Committee’s decision to approve her increase.</w:t>
      </w:r>
    </w:p>
    <w:p>
      <w:pPr>
        <w:spacing w:after="0" w:line="45" w:lineRule="exact"/>
        <w:rPr>
          <w:rFonts w:ascii="Arial" w:cs="Arial" w:eastAsia="Arial" w:hAnsi="Arial"/>
          <w:sz w:val="16"/>
          <w:szCs w:val="16"/>
          <w:color w:val="auto"/>
          <w:vertAlign w:val="superscript"/>
        </w:rPr>
      </w:pPr>
    </w:p>
    <w:p>
      <w:pPr>
        <w:ind w:left="380" w:hanging="250"/>
        <w:spacing w:after="0"/>
        <w:tabs>
          <w:tab w:leader="none" w:pos="380" w:val="left"/>
        </w:tabs>
        <w:numPr>
          <w:ilvl w:val="0"/>
          <w:numId w:val="83"/>
        </w:numPr>
        <w:rPr>
          <w:rFonts w:ascii="Arial" w:cs="Arial" w:eastAsia="Arial" w:hAnsi="Arial"/>
          <w:sz w:val="16"/>
          <w:szCs w:val="16"/>
          <w:color w:val="auto"/>
          <w:vertAlign w:val="superscript"/>
        </w:rPr>
      </w:pPr>
      <w:r>
        <w:rPr>
          <w:rFonts w:ascii="Arial" w:cs="Arial" w:eastAsia="Arial" w:hAnsi="Arial"/>
          <w:sz w:val="13"/>
          <w:szCs w:val="13"/>
          <w:color w:val="auto"/>
        </w:rPr>
        <w:t>Ms.Tsai’s 2024 salary rate was increased effective July 1, 2024 from $630,000 to $700,000.</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20" w:hanging="429"/>
        <w:spacing w:after="0"/>
        <w:tabs>
          <w:tab w:leader="none" w:pos="620" w:val="left"/>
        </w:tabs>
        <w:numPr>
          <w:ilvl w:val="0"/>
          <w:numId w:val="84"/>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61" w:name="page62"/>
    <w:bookmarkEnd w:id="61"/>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391"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Annual Cash Incentive</w:t>
      </w:r>
    </w:p>
    <w:p>
      <w:pPr>
        <w:spacing w:after="0" w:line="87" w:lineRule="exact"/>
        <w:rPr>
          <w:sz w:val="20"/>
          <w:szCs w:val="20"/>
          <w:color w:val="auto"/>
        </w:rPr>
      </w:pPr>
    </w:p>
    <w:p>
      <w:pPr>
        <w:ind w:left="140" w:right="359"/>
        <w:spacing w:after="0" w:line="259" w:lineRule="auto"/>
        <w:rPr>
          <w:sz w:val="20"/>
          <w:szCs w:val="20"/>
          <w:color w:val="auto"/>
        </w:rPr>
      </w:pPr>
      <w:r>
        <w:rPr>
          <w:rFonts w:ascii="Arial" w:cs="Arial" w:eastAsia="Arial" w:hAnsi="Arial"/>
          <w:sz w:val="16"/>
          <w:szCs w:val="16"/>
          <w:color w:val="auto"/>
        </w:rPr>
        <w:t>We award annual cash incentives based upon the achievement of pre-defined business and financial objectives. The annual cash incentive program plays an important role in our approach to total compensation. It is designed to motivate participants to improve the Company’s performance for a fiscal year, and it requires that we achieve pre-established annual performance goals before participants become eligible for an incentive payout. We believe that achieving our annual business and financial objectives aligns with and supports the execution of our business strategy, strengthening our products and solutions, improving customer satisfaction, gaining new customers and delivering long-term value to shareholders. In addition, the annual cash incentive program is designed to help to attract and retain a highly qualified management team and to maintain a market-competitive compensation program.</w:t>
      </w:r>
    </w:p>
    <w:p>
      <w:pPr>
        <w:spacing w:after="0" w:line="140" w:lineRule="exact"/>
        <w:rPr>
          <w:sz w:val="20"/>
          <w:szCs w:val="20"/>
          <w:color w:val="auto"/>
        </w:rPr>
      </w:pPr>
    </w:p>
    <w:p>
      <w:pPr>
        <w:ind w:left="140" w:right="239"/>
        <w:spacing w:after="0" w:line="259" w:lineRule="auto"/>
        <w:rPr>
          <w:sz w:val="20"/>
          <w:szCs w:val="20"/>
          <w:color w:val="auto"/>
        </w:rPr>
      </w:pPr>
      <w:r>
        <w:rPr>
          <w:rFonts w:ascii="Arial" w:cs="Arial" w:eastAsia="Arial" w:hAnsi="Arial"/>
          <w:sz w:val="16"/>
          <w:szCs w:val="16"/>
          <w:color w:val="auto"/>
        </w:rPr>
        <w:t>In the first quarter of each fiscal year, our Compensation Committee approves the fiscal year performance objectives and a target incentive opportunity for each participant, as well as the potential incentive opportunity range for maximum and threshold performance. When establishing target annual cash incentive opportunities for each NEO, our Compensation Committee considers the peer group and market compensation data provided by the Compensation Committee’s independent compensation consultant. In addition, the Compensation Committee sets target annual cash incentive opportunities at a level intended to be significant enough to focus our NEOs on attaining key goals that are aligned with and support our strategic business objectives, which in turn drive growth in shareholder value.</w:t>
      </w:r>
    </w:p>
    <w:p>
      <w:pPr>
        <w:spacing w:after="0" w:line="122" w:lineRule="exact"/>
        <w:rPr>
          <w:sz w:val="20"/>
          <w:szCs w:val="20"/>
          <w:color w:val="auto"/>
        </w:rPr>
      </w:pPr>
    </w:p>
    <w:p>
      <w:pPr>
        <w:ind w:left="140" w:right="259"/>
        <w:spacing w:after="0" w:line="262" w:lineRule="auto"/>
        <w:rPr>
          <w:sz w:val="20"/>
          <w:szCs w:val="20"/>
          <w:color w:val="auto"/>
        </w:rPr>
      </w:pPr>
      <w:r>
        <w:rPr>
          <w:rFonts w:ascii="Arial" w:cs="Arial" w:eastAsia="Arial" w:hAnsi="Arial"/>
          <w:sz w:val="16"/>
          <w:szCs w:val="16"/>
          <w:color w:val="auto"/>
        </w:rPr>
        <w:t>No annual incentive payments are due to a NEO in respect of each goal if the pre-established, minimum performance levels for that goal are not met, and total payments for each NEO are capped at the maximum performance payout level of 200% of the NEO’s target annual incentive. In addition, the financial performance measures under the program are derived from our annual audited financial statements included in our Form 10-K. Annual incentive program payments are only made after completion of the audit and approval by our Compensation Committee. Finally, in order to allow the Compensation Committee flexibility to consider other factors it deems relevant, the Compensation Committee retains the authority to exercise negative discretion to reduce payouts under the annual incentive program as it deems appropriate.</w:t>
      </w:r>
    </w:p>
    <w:p>
      <w:pPr>
        <w:spacing w:after="0" w:line="120" w:lineRule="exact"/>
        <w:rPr>
          <w:sz w:val="20"/>
          <w:szCs w:val="20"/>
          <w:color w:val="auto"/>
        </w:rPr>
      </w:pPr>
    </w:p>
    <w:p>
      <w:pPr>
        <w:ind w:left="140" w:right="199"/>
        <w:spacing w:after="0" w:line="265" w:lineRule="auto"/>
        <w:rPr>
          <w:sz w:val="20"/>
          <w:szCs w:val="20"/>
          <w:color w:val="auto"/>
        </w:rPr>
      </w:pPr>
      <w:r>
        <w:rPr>
          <w:rFonts w:ascii="Arial" w:cs="Arial" w:eastAsia="Arial" w:hAnsi="Arial"/>
          <w:sz w:val="16"/>
          <w:szCs w:val="16"/>
          <w:color w:val="auto"/>
        </w:rPr>
        <w:t>The reasons for the Compensation Committee’s decision to increase Ms. Ferris’ target incentive opportunity in 2025 are described above under “2025 Total Compensation.” Following the increase, Ms. Ferris’ total target cash opportunity (base salary plus target bonus opportunity) is in line with the peer group median. The Compensation Committee decided to increase Mr. Bhathena’s target incentive opportunity in 2025 to align his target opportunity with the other NEOs.</w:t>
      </w:r>
    </w:p>
    <w:p>
      <w:pPr>
        <w:spacing w:after="0" w:line="27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3600" w:type="dxa"/>
            <w:vAlign w:val="bottom"/>
          </w:tcPr>
          <w:p>
            <w:pPr>
              <w:jc w:val="right"/>
              <w:ind w:right="62"/>
              <w:spacing w:after="0"/>
              <w:rPr>
                <w:sz w:val="20"/>
                <w:szCs w:val="20"/>
                <w:color w:val="auto"/>
              </w:rPr>
            </w:pPr>
            <w:r>
              <w:rPr>
                <w:rFonts w:ascii="Arial" w:cs="Arial" w:eastAsia="Arial" w:hAnsi="Arial"/>
                <w:sz w:val="14"/>
                <w:szCs w:val="14"/>
                <w:b w:val="1"/>
                <w:bCs w:val="1"/>
                <w:color w:val="431C5B"/>
              </w:rPr>
              <w:t>2024 Target</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431C5B"/>
              </w:rPr>
              <w:t>2025 Target</w:t>
            </w:r>
          </w:p>
        </w:tc>
      </w:tr>
      <w:tr>
        <w:trPr>
          <w:trHeight w:val="160"/>
        </w:trPr>
        <w:tc>
          <w:tcPr>
            <w:tcW w:w="3320" w:type="dxa"/>
            <w:vAlign w:val="bottom"/>
          </w:tcPr>
          <w:p>
            <w:pPr>
              <w:spacing w:after="0"/>
              <w:rPr>
                <w:sz w:val="13"/>
                <w:szCs w:val="13"/>
                <w:color w:val="auto"/>
              </w:rPr>
            </w:pPr>
          </w:p>
        </w:tc>
        <w:tc>
          <w:tcPr>
            <w:tcW w:w="3600" w:type="dxa"/>
            <w:vAlign w:val="bottom"/>
          </w:tcPr>
          <w:p>
            <w:pPr>
              <w:jc w:val="right"/>
              <w:ind w:right="62"/>
              <w:spacing w:after="0" w:line="159" w:lineRule="exact"/>
              <w:rPr>
                <w:sz w:val="20"/>
                <w:szCs w:val="20"/>
                <w:color w:val="auto"/>
              </w:rPr>
            </w:pPr>
            <w:r>
              <w:rPr>
                <w:rFonts w:ascii="Arial" w:cs="Arial" w:eastAsia="Arial" w:hAnsi="Arial"/>
                <w:sz w:val="14"/>
                <w:szCs w:val="14"/>
                <w:b w:val="1"/>
                <w:bCs w:val="1"/>
                <w:color w:val="431C5B"/>
              </w:rPr>
              <w:t>Performance-based</w:t>
            </w:r>
          </w:p>
        </w:tc>
        <w:tc>
          <w:tcPr>
            <w:tcW w:w="1840" w:type="dxa"/>
            <w:vAlign w:val="bottom"/>
          </w:tcPr>
          <w:p>
            <w:pPr>
              <w:jc w:val="right"/>
              <w:spacing w:after="0" w:line="159" w:lineRule="exact"/>
              <w:rPr>
                <w:sz w:val="20"/>
                <w:szCs w:val="20"/>
                <w:color w:val="auto"/>
              </w:rPr>
            </w:pPr>
            <w:r>
              <w:rPr>
                <w:rFonts w:ascii="Arial" w:cs="Arial" w:eastAsia="Arial" w:hAnsi="Arial"/>
                <w:sz w:val="14"/>
                <w:szCs w:val="14"/>
                <w:b w:val="1"/>
                <w:bCs w:val="1"/>
                <w:color w:val="431C5B"/>
              </w:rPr>
              <w:t>Performance-based</w:t>
            </w:r>
          </w:p>
        </w:tc>
      </w:tr>
      <w:tr>
        <w:trPr>
          <w:trHeight w:val="187"/>
        </w:trPr>
        <w:tc>
          <w:tcPr>
            <w:tcW w:w="332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NEO</w:t>
            </w:r>
          </w:p>
        </w:tc>
        <w:tc>
          <w:tcPr>
            <w:tcW w:w="3600" w:type="dxa"/>
            <w:vAlign w:val="bottom"/>
            <w:tcBorders>
              <w:bottom w:val="single" w:sz="8" w:color="431C5B"/>
            </w:tcBorders>
          </w:tcPr>
          <w:p>
            <w:pPr>
              <w:jc w:val="right"/>
              <w:ind w:right="62"/>
              <w:spacing w:after="0" w:line="188" w:lineRule="exact"/>
              <w:rPr>
                <w:sz w:val="20"/>
                <w:szCs w:val="20"/>
                <w:color w:val="auto"/>
              </w:rPr>
            </w:pPr>
            <w:r>
              <w:rPr>
                <w:rFonts w:ascii="Arial" w:cs="Arial" w:eastAsia="Arial" w:hAnsi="Arial"/>
                <w:sz w:val="14"/>
                <w:szCs w:val="14"/>
                <w:b w:val="1"/>
                <w:bCs w:val="1"/>
                <w:color w:val="431C5B"/>
              </w:rPr>
              <w:t>Annual Cash Incentive</w:t>
            </w:r>
            <w:r>
              <w:rPr>
                <w:rFonts w:ascii="Arial" w:cs="Arial" w:eastAsia="Arial" w:hAnsi="Arial"/>
                <w:sz w:val="18"/>
                <w:szCs w:val="18"/>
                <w:b w:val="1"/>
                <w:bCs w:val="1"/>
                <w:color w:val="431C5B"/>
                <w:vertAlign w:val="superscript"/>
              </w:rPr>
              <w:t>(1)</w:t>
            </w:r>
          </w:p>
        </w:tc>
        <w:tc>
          <w:tcPr>
            <w:tcW w:w="1840" w:type="dxa"/>
            <w:vAlign w:val="bottom"/>
            <w:tcBorders>
              <w:bottom w:val="single" w:sz="8" w:color="431C5B"/>
            </w:tcBorders>
          </w:tcPr>
          <w:p>
            <w:pPr>
              <w:jc w:val="right"/>
              <w:spacing w:after="0" w:line="188" w:lineRule="exact"/>
              <w:rPr>
                <w:sz w:val="20"/>
                <w:szCs w:val="20"/>
                <w:color w:val="auto"/>
              </w:rPr>
            </w:pPr>
            <w:r>
              <w:rPr>
                <w:rFonts w:ascii="Arial" w:cs="Arial" w:eastAsia="Arial" w:hAnsi="Arial"/>
                <w:sz w:val="14"/>
                <w:szCs w:val="14"/>
                <w:b w:val="1"/>
                <w:bCs w:val="1"/>
                <w:color w:val="431C5B"/>
              </w:rPr>
              <w:t>Annual Cash Incentive</w:t>
            </w:r>
            <w:r>
              <w:rPr>
                <w:rFonts w:ascii="Arial" w:cs="Arial" w:eastAsia="Arial" w:hAnsi="Arial"/>
                <w:sz w:val="18"/>
                <w:szCs w:val="18"/>
                <w:b w:val="1"/>
                <w:bCs w:val="1"/>
                <w:color w:val="431C5B"/>
                <w:vertAlign w:val="superscript"/>
              </w:rPr>
              <w:t>(1)</w:t>
            </w:r>
          </w:p>
        </w:tc>
      </w:tr>
      <w:tr>
        <w:trPr>
          <w:trHeight w:val="210"/>
        </w:trPr>
        <w:tc>
          <w:tcPr>
            <w:tcW w:w="332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Stephanie L. Ferris</w:t>
            </w:r>
          </w:p>
        </w:tc>
        <w:tc>
          <w:tcPr>
            <w:tcW w:w="3600" w:type="dxa"/>
            <w:vAlign w:val="bottom"/>
            <w:tcBorders>
              <w:bottom w:val="single" w:sz="8" w:color="E6E6E6"/>
            </w:tcBorders>
            <w:shd w:val="clear" w:color="auto" w:fill="EEFAEC"/>
          </w:tcPr>
          <w:p>
            <w:pPr>
              <w:jc w:val="right"/>
              <w:ind w:right="82"/>
              <w:spacing w:after="0"/>
              <w:rPr>
                <w:sz w:val="20"/>
                <w:szCs w:val="20"/>
                <w:color w:val="auto"/>
              </w:rPr>
            </w:pPr>
            <w:r>
              <w:rPr>
                <w:rFonts w:ascii="Arial" w:cs="Arial" w:eastAsia="Arial" w:hAnsi="Arial"/>
                <w:sz w:val="16"/>
                <w:szCs w:val="16"/>
                <w:color w:val="auto"/>
              </w:rPr>
              <w:t>200%</w:t>
            </w:r>
          </w:p>
        </w:tc>
        <w:tc>
          <w:tcPr>
            <w:tcW w:w="184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225%</w:t>
            </w:r>
          </w:p>
        </w:tc>
      </w:tr>
      <w:tr>
        <w:trPr>
          <w:trHeight w:val="210"/>
        </w:trPr>
        <w:tc>
          <w:tcPr>
            <w:tcW w:w="332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James Kehoe</w:t>
            </w:r>
          </w:p>
        </w:tc>
        <w:tc>
          <w:tcPr>
            <w:tcW w:w="3600" w:type="dxa"/>
            <w:vAlign w:val="bottom"/>
            <w:tcBorders>
              <w:bottom w:val="single" w:sz="8" w:color="E6E6E6"/>
            </w:tcBorders>
          </w:tcPr>
          <w:p>
            <w:pPr>
              <w:jc w:val="right"/>
              <w:ind w:right="82"/>
              <w:spacing w:after="0"/>
              <w:rPr>
                <w:sz w:val="20"/>
                <w:szCs w:val="20"/>
                <w:color w:val="auto"/>
              </w:rPr>
            </w:pPr>
            <w:r>
              <w:rPr>
                <w:rFonts w:ascii="Arial" w:cs="Arial" w:eastAsia="Arial" w:hAnsi="Arial"/>
                <w:sz w:val="16"/>
                <w:szCs w:val="16"/>
                <w:color w:val="auto"/>
              </w:rPr>
              <w:t>150%</w:t>
            </w:r>
          </w:p>
        </w:tc>
        <w:tc>
          <w:tcPr>
            <w:tcW w:w="184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150%</w:t>
            </w:r>
          </w:p>
        </w:tc>
      </w:tr>
      <w:tr>
        <w:trPr>
          <w:trHeight w:val="209"/>
        </w:trPr>
        <w:tc>
          <w:tcPr>
            <w:tcW w:w="332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Firdaus Bhathena</w:t>
            </w:r>
          </w:p>
        </w:tc>
        <w:tc>
          <w:tcPr>
            <w:tcW w:w="3600" w:type="dxa"/>
            <w:vAlign w:val="bottom"/>
            <w:tcBorders>
              <w:bottom w:val="single" w:sz="8" w:color="E6E6E6"/>
            </w:tcBorders>
            <w:shd w:val="clear" w:color="auto" w:fill="EEFAEC"/>
          </w:tcPr>
          <w:p>
            <w:pPr>
              <w:jc w:val="right"/>
              <w:ind w:right="82"/>
              <w:spacing w:after="0"/>
              <w:rPr>
                <w:sz w:val="20"/>
                <w:szCs w:val="20"/>
                <w:color w:val="auto"/>
              </w:rPr>
            </w:pPr>
            <w:r>
              <w:rPr>
                <w:rFonts w:ascii="Arial" w:cs="Arial" w:eastAsia="Arial" w:hAnsi="Arial"/>
                <w:sz w:val="16"/>
                <w:szCs w:val="16"/>
                <w:color w:val="auto"/>
              </w:rPr>
              <w:t>130%</w:t>
            </w:r>
          </w:p>
        </w:tc>
        <w:tc>
          <w:tcPr>
            <w:tcW w:w="184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140%</w:t>
            </w:r>
          </w:p>
        </w:tc>
      </w:tr>
      <w:tr>
        <w:trPr>
          <w:trHeight w:val="210"/>
        </w:trPr>
        <w:tc>
          <w:tcPr>
            <w:tcW w:w="332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Robert Toohey</w:t>
            </w:r>
          </w:p>
        </w:tc>
        <w:tc>
          <w:tcPr>
            <w:tcW w:w="3600" w:type="dxa"/>
            <w:vAlign w:val="bottom"/>
            <w:tcBorders>
              <w:bottom w:val="single" w:sz="8" w:color="E6E6E6"/>
            </w:tcBorders>
          </w:tcPr>
          <w:p>
            <w:pPr>
              <w:jc w:val="right"/>
              <w:ind w:right="82"/>
              <w:spacing w:after="0"/>
              <w:rPr>
                <w:sz w:val="20"/>
                <w:szCs w:val="20"/>
                <w:color w:val="auto"/>
              </w:rPr>
            </w:pPr>
            <w:r>
              <w:rPr>
                <w:rFonts w:ascii="Arial" w:cs="Arial" w:eastAsia="Arial" w:hAnsi="Arial"/>
                <w:sz w:val="16"/>
                <w:szCs w:val="16"/>
                <w:color w:val="auto"/>
              </w:rPr>
              <w:t>140%</w:t>
            </w:r>
          </w:p>
        </w:tc>
        <w:tc>
          <w:tcPr>
            <w:tcW w:w="184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140%</w:t>
            </w:r>
          </w:p>
        </w:tc>
      </w:tr>
      <w:tr>
        <w:trPr>
          <w:trHeight w:val="210"/>
        </w:trPr>
        <w:tc>
          <w:tcPr>
            <w:tcW w:w="332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Caroline Tsai</w:t>
            </w:r>
          </w:p>
        </w:tc>
        <w:tc>
          <w:tcPr>
            <w:tcW w:w="3600" w:type="dxa"/>
            <w:vAlign w:val="bottom"/>
            <w:tcBorders>
              <w:bottom w:val="single" w:sz="8" w:color="431C5B"/>
            </w:tcBorders>
            <w:shd w:val="clear" w:color="auto" w:fill="EEFAEC"/>
          </w:tcPr>
          <w:p>
            <w:pPr>
              <w:jc w:val="right"/>
              <w:ind w:right="82"/>
              <w:spacing w:after="0"/>
              <w:rPr>
                <w:sz w:val="20"/>
                <w:szCs w:val="20"/>
                <w:color w:val="auto"/>
              </w:rPr>
            </w:pPr>
            <w:r>
              <w:rPr>
                <w:rFonts w:ascii="Arial" w:cs="Arial" w:eastAsia="Arial" w:hAnsi="Arial"/>
                <w:sz w:val="16"/>
                <w:szCs w:val="16"/>
                <w:color w:val="auto"/>
              </w:rPr>
              <w:t>140%</w:t>
            </w:r>
          </w:p>
        </w:tc>
        <w:tc>
          <w:tcPr>
            <w:tcW w:w="184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140%</w:t>
            </w:r>
          </w:p>
        </w:tc>
      </w:tr>
    </w:tbl>
    <w:p>
      <w:pPr>
        <w:spacing w:after="0" w:line="126" w:lineRule="exact"/>
        <w:rPr>
          <w:sz w:val="20"/>
          <w:szCs w:val="20"/>
          <w:color w:val="auto"/>
        </w:rPr>
      </w:pPr>
    </w:p>
    <w:p>
      <w:pPr>
        <w:ind w:left="380" w:hanging="250"/>
        <w:spacing w:after="0"/>
        <w:tabs>
          <w:tab w:leader="none" w:pos="380" w:val="left"/>
        </w:tabs>
        <w:numPr>
          <w:ilvl w:val="0"/>
          <w:numId w:val="85"/>
        </w:numPr>
        <w:rPr>
          <w:rFonts w:ascii="Arial" w:cs="Arial" w:eastAsia="Arial" w:hAnsi="Arial"/>
          <w:sz w:val="16"/>
          <w:szCs w:val="16"/>
          <w:color w:val="auto"/>
          <w:vertAlign w:val="superscript"/>
        </w:rPr>
      </w:pPr>
      <w:r>
        <w:rPr>
          <w:rFonts w:ascii="Arial" w:cs="Arial" w:eastAsia="Arial" w:hAnsi="Arial"/>
          <w:sz w:val="13"/>
          <w:szCs w:val="13"/>
          <w:color w:val="auto"/>
        </w:rPr>
        <w:t>Target annual incentives in these columns are expressed as a percentage of base salary earned during the year.</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431C5B"/>
        </w:rPr>
        <w:t>2025 Annual Cash Incentive Program Goals and Results</w:t>
      </w:r>
    </w:p>
    <w:p>
      <w:pPr>
        <w:spacing w:after="0" w:line="77" w:lineRule="exact"/>
        <w:rPr>
          <w:sz w:val="20"/>
          <w:szCs w:val="20"/>
          <w:color w:val="auto"/>
        </w:rPr>
      </w:pPr>
    </w:p>
    <w:p>
      <w:pPr>
        <w:ind w:left="140" w:right="359"/>
        <w:spacing w:after="0" w:line="283" w:lineRule="auto"/>
        <w:rPr>
          <w:sz w:val="20"/>
          <w:szCs w:val="20"/>
          <w:color w:val="auto"/>
        </w:rPr>
      </w:pPr>
      <w:r>
        <w:rPr>
          <w:rFonts w:ascii="Arial" w:cs="Arial" w:eastAsia="Arial" w:hAnsi="Arial"/>
          <w:sz w:val="16"/>
          <w:szCs w:val="16"/>
          <w:b w:val="1"/>
          <w:bCs w:val="1"/>
          <w:color w:val="auto"/>
        </w:rPr>
        <w:t xml:space="preserve">Overview of the Program. </w:t>
      </w:r>
      <w:r>
        <w:rPr>
          <w:rFonts w:ascii="Arial" w:cs="Arial" w:eastAsia="Arial" w:hAnsi="Arial"/>
          <w:sz w:val="16"/>
          <w:szCs w:val="16"/>
          <w:color w:val="auto"/>
        </w:rPr>
        <w:t>The Compensation Committee selected four performance measures for awarding 2025</w:t>
      </w:r>
      <w:r>
        <w:rPr>
          <w:rFonts w:ascii="Arial" w:cs="Arial" w:eastAsia="Arial" w:hAnsi="Arial"/>
          <w:sz w:val="16"/>
          <w:szCs w:val="16"/>
          <w:b w:val="1"/>
          <w:bCs w:val="1"/>
          <w:color w:val="auto"/>
        </w:rPr>
        <w:t xml:space="preserve"> </w:t>
      </w:r>
      <w:r>
        <w:rPr>
          <w:rFonts w:ascii="Arial" w:cs="Arial" w:eastAsia="Arial" w:hAnsi="Arial"/>
          <w:sz w:val="16"/>
          <w:szCs w:val="16"/>
          <w:color w:val="auto"/>
        </w:rPr>
        <w:t>annual cash incentives: three financial metrics (i.e., a revenue metric, weighted at 40%; an EBITDA metric, weighted at 30%; and an earnings per share metric, weighted at 20%) and one measure tied to our operating performance (i.e., Net Promoter Score improvement, weighted at 10%).</w:t>
      </w:r>
    </w:p>
    <w:p>
      <w:pPr>
        <w:spacing w:after="0" w:line="131" w:lineRule="exact"/>
        <w:rPr>
          <w:sz w:val="20"/>
          <w:szCs w:val="20"/>
          <w:color w:val="auto"/>
        </w:rPr>
      </w:pPr>
    </w:p>
    <w:p>
      <w:pPr>
        <w:ind w:left="140" w:right="399"/>
        <w:spacing w:after="0" w:line="282" w:lineRule="auto"/>
        <w:rPr>
          <w:sz w:val="20"/>
          <w:szCs w:val="20"/>
          <w:color w:val="auto"/>
        </w:rPr>
      </w:pPr>
      <w:r>
        <w:rPr>
          <w:rFonts w:ascii="Arial" w:cs="Arial" w:eastAsia="Arial" w:hAnsi="Arial"/>
          <w:sz w:val="16"/>
          <w:szCs w:val="16"/>
          <w:color w:val="auto"/>
        </w:rPr>
        <w:t>The weights assigned to each measure reflect the importance of each metric to the Company at that particular stage in executing its strategic transformation. The Compensation Committee elected to increase the aggregate weight of the financial performance metrics from 80% in 2024 to 90% in 2025 to reflect the greater importance the Compensation Committee placed on financial performance improvement as the Company continued to progress in its strategic transformation. The greater weighting of financial performance metrics also increased the alignment of management’s compensation with shareholders’ experience.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59</w:t>
      </w:r>
    </w:p>
    <w:p>
      <w:pPr>
        <w:sectPr>
          <w:pgSz w:w="11900" w:h="16838" w:orient="portrait"/>
          <w:cols w:equalWidth="0" w:num="1">
            <w:col w:w="9019"/>
          </w:cols>
          <w:pgMar w:left="1440" w:top="657" w:right="1440" w:bottom="1440" w:gutter="0" w:footer="0" w:header="0"/>
          <w:type w:val="continuous"/>
        </w:sectPr>
      </w:pPr>
    </w:p>
    <w:bookmarkStart w:id="62" w:name="page63"/>
    <w:bookmarkEnd w:id="62"/>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15" w:lineRule="exact"/>
        <w:rPr>
          <w:sz w:val="20"/>
          <w:szCs w:val="20"/>
          <w:color w:val="auto"/>
        </w:rPr>
      </w:pPr>
    </w:p>
    <w:p>
      <w:pPr>
        <w:ind w:left="140" w:right="279"/>
        <w:spacing w:after="0" w:line="274" w:lineRule="auto"/>
        <w:rPr>
          <w:sz w:val="20"/>
          <w:szCs w:val="20"/>
          <w:color w:val="auto"/>
        </w:rPr>
      </w:pPr>
      <w:r>
        <w:rPr>
          <w:rFonts w:ascii="Arial" w:cs="Arial" w:eastAsia="Arial" w:hAnsi="Arial"/>
          <w:sz w:val="16"/>
          <w:szCs w:val="16"/>
          <w:color w:val="auto"/>
        </w:rPr>
        <w:t>Each financial performance measure had a threshold, target and maximum level of performance, with a payout level corresponding to each performance level, which are described below under “Program Results.” Each performance measure was evaluated independently of the others, and a failure to attain the threshold level for any particular performance measure would not preclude an annual incentive payment with respect to any other performance measures for which the threshold level of performance was attained. In addition, the Compensation Committee retained</w:t>
      </w:r>
    </w:p>
    <w:p>
      <w:pPr>
        <w:spacing w:after="0" w:line="3" w:lineRule="exact"/>
        <w:rPr>
          <w:sz w:val="20"/>
          <w:szCs w:val="20"/>
          <w:color w:val="auto"/>
        </w:rPr>
      </w:pPr>
    </w:p>
    <w:p>
      <w:pPr>
        <w:ind w:left="140" w:right="1179"/>
        <w:spacing w:after="0" w:line="321" w:lineRule="auto"/>
        <w:rPr>
          <w:sz w:val="20"/>
          <w:szCs w:val="20"/>
          <w:color w:val="auto"/>
        </w:rPr>
      </w:pPr>
      <w:r>
        <w:rPr>
          <w:rFonts w:ascii="Arial" w:cs="Arial" w:eastAsia="Arial" w:hAnsi="Arial"/>
          <w:sz w:val="16"/>
          <w:szCs w:val="16"/>
          <w:color w:val="auto"/>
        </w:rPr>
        <w:t>full discretion to reduce or withhold the 2025 annual incentives for all NEOs, regardless of the results for the designated measures.</w:t>
      </w:r>
    </w:p>
    <w:p>
      <w:pPr>
        <w:spacing w:after="0" w:line="88" w:lineRule="exact"/>
        <w:rPr>
          <w:sz w:val="20"/>
          <w:szCs w:val="20"/>
          <w:color w:val="auto"/>
        </w:rPr>
      </w:pPr>
    </w:p>
    <w:p>
      <w:pPr>
        <w:ind w:left="140" w:right="199"/>
        <w:spacing w:after="0" w:line="278" w:lineRule="auto"/>
        <w:rPr>
          <w:sz w:val="20"/>
          <w:szCs w:val="20"/>
          <w:color w:val="auto"/>
        </w:rPr>
      </w:pPr>
      <w:r>
        <w:rPr>
          <w:rFonts w:ascii="Arial" w:cs="Arial" w:eastAsia="Arial" w:hAnsi="Arial"/>
          <w:sz w:val="16"/>
          <w:szCs w:val="16"/>
          <w:b w:val="1"/>
          <w:bCs w:val="1"/>
          <w:color w:val="auto"/>
        </w:rPr>
        <w:t xml:space="preserve">Selection of Performance Measures and Setting of Threshold, Target and Maximum Performance Levels.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financial performance metrics selected for the 2025 annual cash incentive program were based on Revenue, Adjusted EBITDA and Adjusted EPS, which are key measures in evaluating the financial performance of our business, and which can have a significant impact on our share price and the investment community’s future expectations. The calculation of these financial performance metrics is described below. The threshold, target and maximum levels of performance for the three financial performance measures were set at the beginning of 2025 as part of our annual budget process, were based on the levels of Revenue, Adjusted EBITDA and Adjusted EPS, respectively, in our annual budget and were consistent with annual guidance communicated to the investment community in February 2025. The Compensation Committee elected to use Revenue and Adjusted EBITDA in order to provide continuity of focus of the objectives from 2024 and to incentivize management, at that stage of the Company’s strategic transformation, to focus on growing the Company’s business while improving profitability. The Compensation Committee decided to add Adjusted EPS for 2025 to further increase the focus on attaining profitability objectives.</w:t>
      </w:r>
    </w:p>
    <w:p>
      <w:pPr>
        <w:spacing w:after="0" w:line="129" w:lineRule="exact"/>
        <w:rPr>
          <w:sz w:val="20"/>
          <w:szCs w:val="20"/>
          <w:color w:val="auto"/>
        </w:rPr>
      </w:pPr>
    </w:p>
    <w:p>
      <w:pPr>
        <w:ind w:left="140" w:right="219"/>
        <w:spacing w:after="0" w:line="282" w:lineRule="auto"/>
        <w:rPr>
          <w:sz w:val="20"/>
          <w:szCs w:val="20"/>
          <w:color w:val="auto"/>
        </w:rPr>
      </w:pPr>
      <w:r>
        <w:rPr>
          <w:rFonts w:ascii="Arial" w:cs="Arial" w:eastAsia="Arial" w:hAnsi="Arial"/>
          <w:sz w:val="16"/>
          <w:szCs w:val="16"/>
          <w:color w:val="auto"/>
        </w:rPr>
        <w:t>The Net Promoter Score operating performance goal was also established at the beginning of the year and used a balanced scorecard that was directly tied to the strategic benefits the Company hoped to achieve from initiatives to enhance customers’ satisfaction with the Company’s products and services. Future Forward cash savings was an operating goal in the 2024 annual cash incentive program, but the Compensation Committee elected to discontinue using it as one of the operating performance metrics in 2025 because much of the work of implementing the Future Forward program and positioning the Company to realize ongoing cash savings had been accomplished in 2024.</w:t>
      </w:r>
    </w:p>
    <w:p>
      <w:pPr>
        <w:spacing w:after="0" w:line="134" w:lineRule="exact"/>
        <w:rPr>
          <w:sz w:val="20"/>
          <w:szCs w:val="20"/>
          <w:color w:val="auto"/>
        </w:rPr>
      </w:pPr>
    </w:p>
    <w:p>
      <w:pPr>
        <w:ind w:left="140" w:right="159"/>
        <w:spacing w:after="0" w:line="289" w:lineRule="auto"/>
        <w:rPr>
          <w:sz w:val="20"/>
          <w:szCs w:val="20"/>
          <w:color w:val="auto"/>
        </w:rPr>
      </w:pPr>
      <w:r>
        <w:rPr>
          <w:rFonts w:ascii="Arial" w:cs="Arial" w:eastAsia="Arial" w:hAnsi="Arial"/>
          <w:sz w:val="16"/>
          <w:szCs w:val="16"/>
          <w:color w:val="auto"/>
        </w:rPr>
        <w:t>The performance measures were designed with significant rigor and with a goal to drive outstanding operational performance by our management team and employees. The target levels of performance that the Compensation Committee selected for the 2025 annual incentive program were consistent with our annual budget, business plan and our investor guidance, as well as our long-term financial plan and our strategic objectives.</w:t>
      </w:r>
    </w:p>
    <w:p>
      <w:pPr>
        <w:spacing w:after="0" w:line="113" w:lineRule="exact"/>
        <w:rPr>
          <w:sz w:val="20"/>
          <w:szCs w:val="20"/>
          <w:color w:val="auto"/>
        </w:rPr>
      </w:pPr>
    </w:p>
    <w:p>
      <w:pPr>
        <w:ind w:left="140" w:right="259"/>
        <w:spacing w:after="0" w:line="287" w:lineRule="auto"/>
        <w:rPr>
          <w:sz w:val="20"/>
          <w:szCs w:val="20"/>
          <w:color w:val="auto"/>
        </w:rPr>
      </w:pPr>
      <w:r>
        <w:rPr>
          <w:rFonts w:ascii="Arial" w:cs="Arial" w:eastAsia="Arial" w:hAnsi="Arial"/>
          <w:sz w:val="16"/>
          <w:szCs w:val="16"/>
          <w:color w:val="auto"/>
        </w:rPr>
        <w:t>The Compensation Committee believes that the performance measures used for our annual incentives, together with the equity-based incentives and stock ownership levels applicable to our NEOs, provide a high level of objectivity and transparency and a good balance that focuses our NEOs on achieving short-term goals while not encouraging behavior that could be detrimental to delivering sustainable, long-term value. When establishing the performance measures and goals for the 2025 annual incentive awards, the Compensation Committee considered the following key factors:</w:t>
      </w:r>
    </w:p>
    <w:p>
      <w:pPr>
        <w:spacing w:after="0" w:line="115" w:lineRule="exact"/>
        <w:rPr>
          <w:sz w:val="20"/>
          <w:szCs w:val="20"/>
          <w:color w:val="auto"/>
        </w:rPr>
      </w:pPr>
    </w:p>
    <w:p>
      <w:pPr>
        <w:ind w:left="320" w:hanging="190"/>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Consistency among the 2025 performance targets and the 2025 business plan;</w:t>
      </w:r>
    </w:p>
    <w:p>
      <w:pPr>
        <w:spacing w:after="0" w:line="86" w:lineRule="exact"/>
        <w:rPr>
          <w:rFonts w:ascii="Arial" w:cs="Arial" w:eastAsia="Arial" w:hAnsi="Arial"/>
          <w:sz w:val="16"/>
          <w:szCs w:val="16"/>
          <w:color w:val="auto"/>
        </w:rPr>
      </w:pPr>
    </w:p>
    <w:p>
      <w:pPr>
        <w:ind w:left="320" w:right="1139" w:hanging="190"/>
        <w:spacing w:after="0" w:line="308" w:lineRule="auto"/>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2025 financial performance targets, as compared to the 2024 financial performance targets and 2024 actual performance;</w:t>
      </w:r>
    </w:p>
    <w:p>
      <w:pPr>
        <w:ind w:left="320" w:hanging="190"/>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Alignment of the 2025 financial performance targets with our guidance to investors as described above;</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Impact of macro-economic factors on performance targets; and</w:t>
      </w:r>
    </w:p>
    <w:p>
      <w:pPr>
        <w:spacing w:after="0" w:line="72" w:lineRule="exact"/>
        <w:rPr>
          <w:rFonts w:ascii="Arial" w:cs="Arial" w:eastAsia="Arial" w:hAnsi="Arial"/>
          <w:sz w:val="16"/>
          <w:szCs w:val="16"/>
          <w:color w:val="auto"/>
        </w:rPr>
      </w:pPr>
    </w:p>
    <w:p>
      <w:pPr>
        <w:ind w:left="320" w:right="499" w:hanging="190"/>
        <w:spacing w:after="0" w:line="321" w:lineRule="auto"/>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significant challenge presented to reach the target goals and the extraordinary achievement required to earn a maximum payout.</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20" w:hanging="429"/>
        <w:spacing w:after="0"/>
        <w:tabs>
          <w:tab w:leader="none" w:pos="620" w:val="left"/>
        </w:tabs>
        <w:numPr>
          <w:ilvl w:val="0"/>
          <w:numId w:val="87"/>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63" w:name="page64"/>
    <w:bookmarkEnd w:id="63"/>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15" w:lineRule="exact"/>
        <w:rPr>
          <w:sz w:val="20"/>
          <w:szCs w:val="20"/>
          <w:color w:val="auto"/>
        </w:rPr>
      </w:pPr>
    </w:p>
    <w:p>
      <w:pPr>
        <w:ind w:left="140" w:right="539"/>
        <w:spacing w:after="0" w:line="321" w:lineRule="auto"/>
        <w:rPr>
          <w:sz w:val="20"/>
          <w:szCs w:val="20"/>
          <w:color w:val="auto"/>
        </w:rPr>
      </w:pPr>
      <w:r>
        <w:rPr>
          <w:rFonts w:ascii="Arial" w:cs="Arial" w:eastAsia="Arial" w:hAnsi="Arial"/>
          <w:sz w:val="16"/>
          <w:szCs w:val="16"/>
          <w:b w:val="1"/>
          <w:bCs w:val="1"/>
          <w:color w:val="auto"/>
        </w:rPr>
        <w:t xml:space="preserve">Calculation of Financial Performance Measures. </w:t>
      </w:r>
      <w:r>
        <w:rPr>
          <w:rFonts w:ascii="Arial" w:cs="Arial" w:eastAsia="Arial" w:hAnsi="Arial"/>
          <w:sz w:val="16"/>
          <w:szCs w:val="16"/>
          <w:color w:val="auto"/>
        </w:rPr>
        <w:t>In the following table, we explain how we calculated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measures and why we use them.</w:t>
      </w:r>
    </w:p>
    <w:p>
      <w:pPr>
        <w:spacing w:after="0" w:line="215" w:lineRule="exact"/>
        <w:rPr>
          <w:sz w:val="20"/>
          <w:szCs w:val="20"/>
          <w:color w:val="auto"/>
        </w:rPr>
      </w:pPr>
    </w:p>
    <w:p>
      <w:pPr>
        <w:ind w:left="200"/>
        <w:spacing w:after="0"/>
        <w:tabs>
          <w:tab w:leader="none" w:pos="2040" w:val="left"/>
          <w:tab w:leader="none" w:pos="6200" w:val="left"/>
        </w:tabs>
        <w:rPr>
          <w:sz w:val="20"/>
          <w:szCs w:val="20"/>
          <w:color w:val="auto"/>
        </w:rPr>
      </w:pPr>
      <w:r>
        <w:rPr>
          <w:rFonts w:ascii="Arial" w:cs="Arial" w:eastAsia="Arial" w:hAnsi="Arial"/>
          <w:sz w:val="14"/>
          <w:szCs w:val="14"/>
          <w:b w:val="1"/>
          <w:bCs w:val="1"/>
          <w:color w:val="431C5B"/>
        </w:rPr>
        <w:t>Performance measure</w:t>
      </w:r>
      <w:r>
        <w:rPr>
          <w:sz w:val="20"/>
          <w:szCs w:val="20"/>
          <w:color w:val="auto"/>
        </w:rPr>
        <w:tab/>
      </w:r>
      <w:r>
        <w:rPr>
          <w:rFonts w:ascii="Arial" w:cs="Arial" w:eastAsia="Arial" w:hAnsi="Arial"/>
          <w:sz w:val="14"/>
          <w:szCs w:val="14"/>
          <w:b w:val="1"/>
          <w:bCs w:val="1"/>
          <w:color w:val="431C5B"/>
        </w:rPr>
        <w:t>How calculated</w:t>
      </w:r>
      <w:r>
        <w:rPr>
          <w:sz w:val="20"/>
          <w:szCs w:val="20"/>
          <w:color w:val="auto"/>
        </w:rPr>
        <w:tab/>
      </w:r>
      <w:r>
        <w:rPr>
          <w:rFonts w:ascii="Arial" w:cs="Arial" w:eastAsia="Arial" w:hAnsi="Arial"/>
          <w:sz w:val="14"/>
          <w:szCs w:val="14"/>
          <w:b w:val="1"/>
          <w:bCs w:val="1"/>
          <w:color w:val="431C5B"/>
        </w:rPr>
        <w:t>Reason for use</w:t>
      </w:r>
    </w:p>
    <w:p>
      <w:pPr>
        <w:sectPr>
          <w:pgSz w:w="11900" w:h="16838" w:orient="portrait"/>
          <w:cols w:equalWidth="0" w:num="1">
            <w:col w:w="9019"/>
          </w:cols>
          <w:pgMar w:left="1440" w:top="657" w:right="1440" w:bottom="1440" w:gutter="0" w:footer="0" w:header="0"/>
        </w:sectPr>
      </w:pP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34"/>
        </w:trPr>
        <w:tc>
          <w:tcPr>
            <w:tcW w:w="1880" w:type="dxa"/>
            <w:vAlign w:val="bottom"/>
            <w:shd w:val="clear" w:color="auto" w:fill="EDFAEC"/>
          </w:tcPr>
          <w:p>
            <w:pPr>
              <w:spacing w:after="0"/>
              <w:rPr>
                <w:sz w:val="2"/>
                <w:szCs w:val="2"/>
                <w:color w:val="auto"/>
              </w:rPr>
            </w:pPr>
          </w:p>
        </w:tc>
        <w:tc>
          <w:tcPr>
            <w:tcW w:w="4180" w:type="dxa"/>
            <w:vAlign w:val="bottom"/>
          </w:tcPr>
          <w:p>
            <w:pPr>
              <w:spacing w:after="0"/>
              <w:rPr>
                <w:sz w:val="2"/>
                <w:szCs w:val="2"/>
                <w:color w:val="auto"/>
              </w:rPr>
            </w:pPr>
          </w:p>
        </w:tc>
      </w:tr>
      <w:tr>
        <w:trPr>
          <w:trHeight w:val="229"/>
        </w:trPr>
        <w:tc>
          <w:tcPr>
            <w:tcW w:w="1880" w:type="dxa"/>
            <w:vAlign w:val="bottom"/>
            <w:shd w:val="clear" w:color="auto" w:fill="EDFAEC"/>
          </w:tcPr>
          <w:p>
            <w:pPr>
              <w:ind w:left="80"/>
              <w:spacing w:after="0"/>
              <w:rPr>
                <w:sz w:val="20"/>
                <w:szCs w:val="20"/>
                <w:color w:val="auto"/>
              </w:rPr>
            </w:pPr>
            <w:r>
              <w:rPr>
                <w:rFonts w:ascii="Arial" w:cs="Arial" w:eastAsia="Arial" w:hAnsi="Arial"/>
                <w:sz w:val="16"/>
                <w:szCs w:val="16"/>
                <w:b w:val="1"/>
                <w:bCs w:val="1"/>
                <w:color w:val="auto"/>
              </w:rPr>
              <w:t>Revenue Metric</w:t>
            </w:r>
          </w:p>
        </w:tc>
        <w:tc>
          <w:tcPr>
            <w:tcW w:w="4180" w:type="dxa"/>
            <w:vAlign w:val="bottom"/>
            <w:shd w:val="clear" w:color="auto" w:fill="EDFAEC"/>
          </w:tcPr>
          <w:p>
            <w:pPr>
              <w:ind w:left="60"/>
              <w:spacing w:after="0"/>
              <w:rPr>
                <w:sz w:val="20"/>
                <w:szCs w:val="20"/>
                <w:color w:val="auto"/>
              </w:rPr>
            </w:pPr>
            <w:r>
              <w:rPr>
                <w:rFonts w:ascii="Arial" w:cs="Arial" w:eastAsia="Arial" w:hAnsi="Arial"/>
                <w:sz w:val="16"/>
                <w:szCs w:val="16"/>
                <w:color w:val="auto"/>
              </w:rPr>
              <w:t>Based on revenue as reported in the Annual Report</w:t>
            </w:r>
          </w:p>
        </w:tc>
      </w:tr>
      <w:tr>
        <w:trPr>
          <w:trHeight w:val="215"/>
        </w:trPr>
        <w:tc>
          <w:tcPr>
            <w:tcW w:w="1880" w:type="dxa"/>
            <w:vAlign w:val="bottom"/>
            <w:shd w:val="clear" w:color="auto" w:fill="EDFAEC"/>
          </w:tcPr>
          <w:p>
            <w:pPr>
              <w:spacing w:after="0"/>
              <w:rPr>
                <w:sz w:val="18"/>
                <w:szCs w:val="18"/>
                <w:color w:val="auto"/>
              </w:rPr>
            </w:pPr>
          </w:p>
        </w:tc>
        <w:tc>
          <w:tcPr>
            <w:tcW w:w="4180" w:type="dxa"/>
            <w:vAlign w:val="bottom"/>
            <w:shd w:val="clear" w:color="auto" w:fill="EDFAEC"/>
          </w:tcPr>
          <w:p>
            <w:pPr>
              <w:ind w:left="60"/>
              <w:spacing w:after="0"/>
              <w:rPr>
                <w:sz w:val="20"/>
                <w:szCs w:val="20"/>
                <w:color w:val="auto"/>
              </w:rPr>
            </w:pPr>
            <w:r>
              <w:rPr>
                <w:rFonts w:ascii="Arial" w:cs="Arial" w:eastAsia="Arial" w:hAnsi="Arial"/>
                <w:sz w:val="16"/>
                <w:szCs w:val="16"/>
                <w:color w:val="auto"/>
              </w:rPr>
              <w:t>on Form 10-K, adjusted for the impact of foreign</w:t>
            </w:r>
          </w:p>
        </w:tc>
      </w:tr>
      <w:tr>
        <w:trPr>
          <w:trHeight w:val="216"/>
        </w:trPr>
        <w:tc>
          <w:tcPr>
            <w:tcW w:w="1880" w:type="dxa"/>
            <w:vAlign w:val="bottom"/>
            <w:shd w:val="clear" w:color="auto" w:fill="EDFAEC"/>
          </w:tcPr>
          <w:p>
            <w:pPr>
              <w:spacing w:after="0"/>
              <w:rPr>
                <w:sz w:val="18"/>
                <w:szCs w:val="18"/>
                <w:color w:val="auto"/>
              </w:rPr>
            </w:pPr>
          </w:p>
        </w:tc>
        <w:tc>
          <w:tcPr>
            <w:tcW w:w="4180" w:type="dxa"/>
            <w:vAlign w:val="bottom"/>
            <w:shd w:val="clear" w:color="auto" w:fill="EDFAEC"/>
          </w:tcPr>
          <w:p>
            <w:pPr>
              <w:ind w:left="60"/>
              <w:spacing w:after="0"/>
              <w:rPr>
                <w:sz w:val="20"/>
                <w:szCs w:val="20"/>
                <w:color w:val="auto"/>
              </w:rPr>
            </w:pPr>
            <w:r>
              <w:rPr>
                <w:rFonts w:ascii="Arial" w:cs="Arial" w:eastAsia="Arial" w:hAnsi="Arial"/>
                <w:sz w:val="16"/>
                <w:szCs w:val="16"/>
                <w:color w:val="auto"/>
              </w:rPr>
              <w:t>currency exchange rates.</w:t>
            </w:r>
          </w:p>
        </w:tc>
      </w:tr>
      <w:tr>
        <w:trPr>
          <w:trHeight w:val="677"/>
        </w:trPr>
        <w:tc>
          <w:tcPr>
            <w:tcW w:w="1880" w:type="dxa"/>
            <w:vAlign w:val="bottom"/>
            <w:shd w:val="clear" w:color="auto" w:fill="EDFAEC"/>
          </w:tcPr>
          <w:p>
            <w:pPr>
              <w:spacing w:after="0"/>
              <w:rPr>
                <w:sz w:val="24"/>
                <w:szCs w:val="24"/>
                <w:color w:val="auto"/>
              </w:rPr>
            </w:pPr>
          </w:p>
        </w:tc>
        <w:tc>
          <w:tcPr>
            <w:tcW w:w="4180" w:type="dxa"/>
            <w:vAlign w:val="bottom"/>
            <w:shd w:val="clear" w:color="auto" w:fill="EDFAEC"/>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19"/>
        <w:spacing w:after="0" w:line="282" w:lineRule="auto"/>
        <w:rPr>
          <w:sz w:val="20"/>
          <w:szCs w:val="20"/>
          <w:color w:val="auto"/>
        </w:rPr>
      </w:pPr>
      <w:r>
        <w:rPr>
          <w:rFonts w:ascii="Arial" w:cs="Arial" w:eastAsia="Arial" w:hAnsi="Arial"/>
          <w:sz w:val="16"/>
          <w:szCs w:val="16"/>
          <w:color w:val="auto"/>
        </w:rPr>
        <w:t>This metric is an important measure of the growth of the Company, our ability to satisfy our customers and to gain new customers, and the effectiveness of our products and solutions.</w:t>
      </w:r>
    </w:p>
    <w:p>
      <w:pPr>
        <w:spacing w:after="0" w:line="93" w:lineRule="exact"/>
        <w:rPr>
          <w:sz w:val="20"/>
          <w:szCs w:val="20"/>
          <w:color w:val="auto"/>
        </w:rPr>
      </w:pPr>
    </w:p>
    <w:p>
      <w:pPr>
        <w:sectPr>
          <w:pgSz w:w="11900" w:h="16838" w:orient="portrait"/>
          <w:cols w:equalWidth="0" w:num="2">
            <w:col w:w="6180" w:space="40"/>
            <w:col w:w="2799"/>
          </w:cols>
          <w:pgMar w:left="1440" w:top="657" w:right="1440" w:bottom="1440" w:gutter="0" w:footer="0" w:header="0"/>
          <w:type w:val="continuous"/>
        </w:sectPr>
      </w:pPr>
    </w:p>
    <w:p>
      <w:pPr>
        <w:ind w:left="200"/>
        <w:spacing w:after="0"/>
        <w:tabs>
          <w:tab w:leader="none" w:pos="2040" w:val="left"/>
        </w:tabs>
        <w:rPr>
          <w:sz w:val="20"/>
          <w:szCs w:val="20"/>
          <w:color w:val="auto"/>
        </w:rPr>
      </w:pPr>
      <w:r>
        <w:rPr>
          <w:rFonts w:ascii="Arial" w:cs="Arial" w:eastAsia="Arial" w:hAnsi="Arial"/>
          <w:sz w:val="16"/>
          <w:szCs w:val="16"/>
          <w:b w:val="1"/>
          <w:bCs w:val="1"/>
          <w:color w:val="auto"/>
        </w:rPr>
        <w:t>EBITDA Metric</w:t>
      </w:r>
      <w:r>
        <w:rPr>
          <w:sz w:val="20"/>
          <w:szCs w:val="20"/>
          <w:color w:val="auto"/>
        </w:rPr>
        <w:tab/>
      </w:r>
      <w:r>
        <w:rPr>
          <w:rFonts w:ascii="Arial" w:cs="Arial" w:eastAsia="Arial" w:hAnsi="Arial"/>
          <w:sz w:val="16"/>
          <w:szCs w:val="16"/>
          <w:color w:val="auto"/>
        </w:rPr>
        <w:t>Total Company Adjusted EBITDA from continuing</w:t>
      </w:r>
    </w:p>
    <w:p>
      <w:pPr>
        <w:spacing w:after="0" w:line="35"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operations as disclosed in our earnings release for</w:t>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the fourth quarter of 2025 furnished to the SEC on</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Form 8-K on February 24, 2026, adjusted for foreign</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currency exchange rates. Adjusted EBITDA reflects</w:t>
      </w:r>
    </w:p>
    <w:p>
      <w:pPr>
        <w:spacing w:after="0" w:line="3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net earnings (loss) before interest, other income</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(expense), taxes, equity method investment earnings</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(loss), and depreciation and amortization, and</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excludes certain costs that do not constitute normal,</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recurring, cash operating expenses necessary to</w:t>
      </w:r>
    </w:p>
    <w:p>
      <w:pPr>
        <w:spacing w:after="0" w:line="3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operate our business. This measure is reported to</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the chief operating decision-maker for purposes of</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making decisions about allocating resources to the</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segments and assessing their performance.</w:t>
      </w:r>
    </w:p>
    <w:p>
      <w:pPr>
        <w:spacing w:after="0" w:line="20" w:lineRule="exact"/>
        <w:rPr>
          <w:sz w:val="20"/>
          <w:szCs w:val="20"/>
          <w:color w:val="auto"/>
        </w:rPr>
      </w:pPr>
      <w:r>
        <w:rPr>
          <w:sz w:val="20"/>
          <w:szCs w:val="20"/>
          <w:color w:val="auto"/>
        </w:rPr>
        <w:br w:type="column"/>
      </w:r>
    </w:p>
    <w:p>
      <w:pPr>
        <w:ind w:right="439"/>
        <w:spacing w:after="0" w:line="282" w:lineRule="auto"/>
        <w:rPr>
          <w:sz w:val="20"/>
          <w:szCs w:val="20"/>
          <w:color w:val="auto"/>
        </w:rPr>
      </w:pPr>
      <w:r>
        <w:rPr>
          <w:rFonts w:ascii="Arial" w:cs="Arial" w:eastAsia="Arial" w:hAnsi="Arial"/>
          <w:sz w:val="16"/>
          <w:szCs w:val="16"/>
          <w:color w:val="auto"/>
        </w:rPr>
        <w:t>This metric reflects our operating strength and efficiency. It also reflects our ability to convert our revenue into operating profits for shareholders.</w:t>
      </w:r>
    </w:p>
    <w:p>
      <w:pPr>
        <w:spacing w:after="0" w:line="1917" w:lineRule="exact"/>
        <w:rPr>
          <w:sz w:val="20"/>
          <w:szCs w:val="20"/>
          <w:color w:val="auto"/>
        </w:rPr>
      </w:pPr>
    </w:p>
    <w:p>
      <w:pPr>
        <w:sectPr>
          <w:pgSz w:w="11900" w:h="16838" w:orient="portrait"/>
          <w:cols w:equalWidth="0" w:num="2">
            <w:col w:w="5860" w:space="360"/>
            <w:col w:w="2799"/>
          </w:cols>
          <w:pgMar w:left="1440" w:top="657" w:right="1440" w:bottom="1440" w:gutter="0" w:footer="0" w:header="0"/>
          <w:type w:val="continuous"/>
        </w:sectPr>
      </w:pPr>
    </w:p>
    <w:tbl>
      <w:tblPr>
        <w:tblLayout w:type="fixed"/>
        <w:tblInd w:w="120" w:type="dxa"/>
        <w:tblCellMar>
          <w:top w:w="0" w:type="dxa"/>
          <w:left w:w="0" w:type="dxa"/>
          <w:bottom w:w="0" w:type="dxa"/>
          <w:right w:w="0" w:type="dxa"/>
        </w:tblCellMar>
      </w:tblPr>
      <w:tr>
        <w:trPr>
          <w:trHeight w:val="296"/>
        </w:trPr>
        <w:tc>
          <w:tcPr>
            <w:tcW w:w="1880" w:type="dxa"/>
            <w:vAlign w:val="bottom"/>
            <w:shd w:val="clear" w:color="auto" w:fill="EEFAEC"/>
          </w:tcPr>
          <w:p>
            <w:pPr>
              <w:ind w:left="80"/>
              <w:spacing w:after="0"/>
              <w:rPr>
                <w:sz w:val="20"/>
                <w:szCs w:val="20"/>
                <w:color w:val="auto"/>
              </w:rPr>
            </w:pPr>
            <w:r>
              <w:rPr>
                <w:rFonts w:ascii="Arial" w:cs="Arial" w:eastAsia="Arial" w:hAnsi="Arial"/>
                <w:sz w:val="16"/>
                <w:szCs w:val="16"/>
                <w:b w:val="1"/>
                <w:bCs w:val="1"/>
                <w:color w:val="auto"/>
              </w:rPr>
              <w:t>EPS Metric</w:t>
            </w:r>
          </w:p>
        </w:tc>
        <w:tc>
          <w:tcPr>
            <w:tcW w:w="4100" w:type="dxa"/>
            <w:vAlign w:val="bottom"/>
          </w:tcPr>
          <w:p>
            <w:pPr>
              <w:ind w:left="60"/>
              <w:spacing w:after="0"/>
              <w:rPr>
                <w:sz w:val="20"/>
                <w:szCs w:val="20"/>
                <w:color w:val="auto"/>
              </w:rPr>
            </w:pPr>
            <w:r>
              <w:rPr>
                <w:rFonts w:ascii="Arial" w:cs="Arial" w:eastAsia="Arial" w:hAnsi="Arial"/>
                <w:sz w:val="16"/>
                <w:szCs w:val="16"/>
                <w:color w:val="auto"/>
              </w:rPr>
              <w:t>Adjusted Net Earnings per share (EPS) from continuing</w:t>
            </w:r>
          </w:p>
        </w:tc>
      </w:tr>
      <w:tr>
        <w:trPr>
          <w:trHeight w:val="215"/>
        </w:trPr>
        <w:tc>
          <w:tcPr>
            <w:tcW w:w="1880" w:type="dxa"/>
            <w:vAlign w:val="bottom"/>
            <w:shd w:val="clear" w:color="auto" w:fill="EEFAEC"/>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auto"/>
              </w:rPr>
              <w:t>operations as reported in our earnings release for the</w:t>
            </w:r>
          </w:p>
        </w:tc>
      </w:tr>
      <w:tr>
        <w:trPr>
          <w:trHeight w:val="204"/>
        </w:trPr>
        <w:tc>
          <w:tcPr>
            <w:tcW w:w="1880" w:type="dxa"/>
            <w:vAlign w:val="bottom"/>
            <w:shd w:val="clear" w:color="auto" w:fill="EEFAEC"/>
          </w:tcPr>
          <w:p>
            <w:pPr>
              <w:spacing w:after="0"/>
              <w:rPr>
                <w:sz w:val="17"/>
                <w:szCs w:val="17"/>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auto"/>
              </w:rPr>
              <w:t>fourth quarter of 2025 furnished to the SEC on Form 8-K</w:t>
            </w:r>
          </w:p>
        </w:tc>
      </w:tr>
      <w:tr>
        <w:trPr>
          <w:trHeight w:val="215"/>
        </w:trPr>
        <w:tc>
          <w:tcPr>
            <w:tcW w:w="1880" w:type="dxa"/>
            <w:vAlign w:val="bottom"/>
            <w:shd w:val="clear" w:color="auto" w:fill="EEFAEC"/>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auto"/>
              </w:rPr>
              <w:t>on February 24, 2026. Adjusted Net Earnings excludes</w:t>
            </w:r>
          </w:p>
        </w:tc>
      </w:tr>
      <w:tr>
        <w:trPr>
          <w:trHeight w:val="216"/>
        </w:trPr>
        <w:tc>
          <w:tcPr>
            <w:tcW w:w="1880" w:type="dxa"/>
            <w:vAlign w:val="bottom"/>
            <w:shd w:val="clear" w:color="auto" w:fill="EEFAEC"/>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auto"/>
              </w:rPr>
              <w:t>the effect of purchase price amortization, as well as</w:t>
            </w:r>
          </w:p>
        </w:tc>
      </w:tr>
      <w:tr>
        <w:trPr>
          <w:trHeight w:val="204"/>
        </w:trPr>
        <w:tc>
          <w:tcPr>
            <w:tcW w:w="1880" w:type="dxa"/>
            <w:vAlign w:val="bottom"/>
            <w:shd w:val="clear" w:color="auto" w:fill="EEFAEC"/>
          </w:tcPr>
          <w:p>
            <w:pPr>
              <w:spacing w:after="0"/>
              <w:rPr>
                <w:sz w:val="17"/>
                <w:szCs w:val="17"/>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auto"/>
              </w:rPr>
              <w:t>certain costs that do not constitute normal, recurring,</w:t>
            </w:r>
          </w:p>
        </w:tc>
      </w:tr>
      <w:tr>
        <w:trPr>
          <w:trHeight w:val="215"/>
        </w:trPr>
        <w:tc>
          <w:tcPr>
            <w:tcW w:w="1880" w:type="dxa"/>
            <w:vAlign w:val="bottom"/>
            <w:shd w:val="clear" w:color="auto" w:fill="EEFAEC"/>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auto"/>
              </w:rPr>
              <w:t>cash operating expenses necessary to operate our</w:t>
            </w:r>
          </w:p>
        </w:tc>
      </w:tr>
      <w:tr>
        <w:trPr>
          <w:trHeight w:val="204"/>
        </w:trPr>
        <w:tc>
          <w:tcPr>
            <w:tcW w:w="1880" w:type="dxa"/>
            <w:vAlign w:val="bottom"/>
            <w:shd w:val="clear" w:color="auto" w:fill="EEFAEC"/>
          </w:tcPr>
          <w:p>
            <w:pPr>
              <w:spacing w:after="0"/>
              <w:rPr>
                <w:sz w:val="17"/>
                <w:szCs w:val="17"/>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auto"/>
              </w:rPr>
              <w:t>business. Adjusted EPS reflects Adjusted Net Earnings,</w:t>
            </w:r>
          </w:p>
        </w:tc>
      </w:tr>
      <w:tr>
        <w:trPr>
          <w:trHeight w:val="215"/>
        </w:trPr>
        <w:tc>
          <w:tcPr>
            <w:tcW w:w="1880" w:type="dxa"/>
            <w:vAlign w:val="bottom"/>
            <w:shd w:val="clear" w:color="auto" w:fill="EEFAEC"/>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auto"/>
              </w:rPr>
              <w:t>as defined above, divided by weighted average diluted</w:t>
            </w:r>
          </w:p>
        </w:tc>
      </w:tr>
      <w:tr>
        <w:trPr>
          <w:trHeight w:val="231"/>
        </w:trPr>
        <w:tc>
          <w:tcPr>
            <w:tcW w:w="1880" w:type="dxa"/>
            <w:vAlign w:val="bottom"/>
            <w:shd w:val="clear" w:color="auto" w:fill="EEFAEC"/>
          </w:tcPr>
          <w:p>
            <w:pPr>
              <w:spacing w:after="0"/>
              <w:rPr>
                <w:sz w:val="20"/>
                <w:szCs w:val="20"/>
                <w:color w:val="auto"/>
              </w:rPr>
            </w:pPr>
          </w:p>
        </w:tc>
        <w:tc>
          <w:tcPr>
            <w:tcW w:w="4100" w:type="dxa"/>
            <w:vAlign w:val="bottom"/>
          </w:tcPr>
          <w:p>
            <w:pPr>
              <w:ind w:left="60"/>
              <w:spacing w:after="0"/>
              <w:rPr>
                <w:sz w:val="20"/>
                <w:szCs w:val="20"/>
                <w:color w:val="auto"/>
              </w:rPr>
            </w:pPr>
            <w:r>
              <w:rPr>
                <w:rFonts w:ascii="Arial" w:cs="Arial" w:eastAsia="Arial" w:hAnsi="Arial"/>
                <w:sz w:val="16"/>
                <w:szCs w:val="16"/>
                <w:color w:val="auto"/>
              </w:rPr>
              <w:t>shares outstanding.</w:t>
            </w: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19"/>
        <w:spacing w:after="0" w:line="282" w:lineRule="auto"/>
        <w:rPr>
          <w:sz w:val="20"/>
          <w:szCs w:val="20"/>
          <w:color w:val="auto"/>
        </w:rPr>
      </w:pPr>
      <w:r>
        <w:rPr>
          <w:rFonts w:ascii="Arial" w:cs="Arial" w:eastAsia="Arial" w:hAnsi="Arial"/>
          <w:sz w:val="16"/>
          <w:szCs w:val="16"/>
          <w:color w:val="auto"/>
        </w:rPr>
        <w:t>Adjusted EPS is the key profit metric that measures how the Company is executing across all business drivers. It is one of the key measures used by investors to value companies.</w:t>
      </w:r>
    </w:p>
    <w:p>
      <w:pPr>
        <w:spacing w:after="0" w:line="1023" w:lineRule="exact"/>
        <w:rPr>
          <w:sz w:val="20"/>
          <w:szCs w:val="20"/>
          <w:color w:val="auto"/>
        </w:rPr>
      </w:pPr>
    </w:p>
    <w:p>
      <w:pPr>
        <w:sectPr>
          <w:pgSz w:w="11900" w:h="16838" w:orient="portrait"/>
          <w:cols w:equalWidth="0" w:num="2">
            <w:col w:w="6100" w:space="120"/>
            <w:col w:w="2799"/>
          </w:cols>
          <w:pgMar w:left="1440" w:top="657" w:right="1440" w:bottom="1440" w:gutter="0" w:footer="0" w:header="0"/>
          <w:type w:val="continuous"/>
        </w:sectPr>
      </w:pPr>
    </w:p>
    <w:p>
      <w:pPr>
        <w:spacing w:after="0" w:line="83" w:lineRule="exact"/>
        <w:rPr>
          <w:sz w:val="20"/>
          <w:szCs w:val="20"/>
          <w:color w:val="auto"/>
        </w:rPr>
      </w:pPr>
    </w:p>
    <w:p>
      <w:pPr>
        <w:ind w:left="140" w:right="159"/>
        <w:spacing w:after="0" w:line="282" w:lineRule="auto"/>
        <w:rPr>
          <w:sz w:val="20"/>
          <w:szCs w:val="20"/>
          <w:color w:val="auto"/>
        </w:rPr>
      </w:pPr>
      <w:r>
        <w:rPr>
          <w:rFonts w:ascii="Arial" w:cs="Arial" w:eastAsia="Arial" w:hAnsi="Arial"/>
          <w:sz w:val="16"/>
          <w:szCs w:val="16"/>
          <w:color w:val="auto"/>
        </w:rPr>
        <w:t>As described in the preceding table, the financial performance metrics used for the annual incentive program reflect adjustments from the corresponding publicly-reported results to eliminate financial impacts of certain costs and transactions deemed non-operational in nature, so that our NEOs’ compensation is not impacted, negatively or positively, by events that do not reflect the underlying operating performance of the business. In 2025, the following adjustments to the reported results for the Revenue metric, the EBITDA metric and the EPS metric (reflected in millions, except per share amounts) were made:</w:t>
      </w: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431C5B"/>
              </w:rPr>
              <w:t>Acquisition,</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431C5B"/>
              </w:rPr>
              <w:t>2025 Adjusted Results</w:t>
            </w:r>
          </w:p>
        </w:tc>
      </w:tr>
      <w:tr>
        <w:trPr>
          <w:trHeight w:val="162"/>
        </w:trPr>
        <w:tc>
          <w:tcPr>
            <w:tcW w:w="2460" w:type="dxa"/>
            <w:vAlign w:val="bottom"/>
          </w:tcPr>
          <w:p>
            <w:pPr>
              <w:spacing w:after="0"/>
              <w:rPr>
                <w:sz w:val="14"/>
                <w:szCs w:val="14"/>
                <w:color w:val="auto"/>
              </w:rPr>
            </w:pPr>
          </w:p>
        </w:tc>
        <w:tc>
          <w:tcPr>
            <w:tcW w:w="22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431C5B"/>
              </w:rPr>
              <w:t>2025 Reported</w:t>
            </w:r>
          </w:p>
        </w:tc>
        <w:tc>
          <w:tcPr>
            <w:tcW w:w="980" w:type="dxa"/>
            <w:vAlign w:val="bottom"/>
          </w:tcPr>
          <w:p>
            <w:pPr>
              <w:jc w:val="right"/>
              <w:ind w:right="63"/>
              <w:spacing w:after="0"/>
              <w:rPr>
                <w:sz w:val="20"/>
                <w:szCs w:val="20"/>
                <w:color w:val="auto"/>
              </w:rPr>
            </w:pPr>
            <w:r>
              <w:rPr>
                <w:rFonts w:ascii="Arial" w:cs="Arial" w:eastAsia="Arial" w:hAnsi="Arial"/>
                <w:sz w:val="14"/>
                <w:szCs w:val="14"/>
                <w:b w:val="1"/>
                <w:bCs w:val="1"/>
                <w:color w:val="431C5B"/>
              </w:rPr>
              <w:t>Foreign</w:t>
            </w:r>
          </w:p>
        </w:tc>
        <w:tc>
          <w:tcPr>
            <w:tcW w:w="13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431C5B"/>
              </w:rPr>
              <w:t>Integration and</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431C5B"/>
              </w:rPr>
              <w:t>for Annual Incentive</w:t>
            </w:r>
          </w:p>
        </w:tc>
      </w:tr>
      <w:tr>
        <w:trPr>
          <w:trHeight w:val="171"/>
        </w:trPr>
        <w:tc>
          <w:tcPr>
            <w:tcW w:w="2460" w:type="dxa"/>
            <w:vAlign w:val="bottom"/>
            <w:tcBorders>
              <w:bottom w:val="single" w:sz="8" w:color="431C5B"/>
            </w:tcBorders>
          </w:tcPr>
          <w:p>
            <w:pPr>
              <w:spacing w:after="0"/>
              <w:rPr>
                <w:sz w:val="14"/>
                <w:szCs w:val="14"/>
                <w:color w:val="auto"/>
              </w:rPr>
            </w:pPr>
          </w:p>
        </w:tc>
        <w:tc>
          <w:tcPr>
            <w:tcW w:w="2260" w:type="dxa"/>
            <w:vAlign w:val="bottom"/>
            <w:tcBorders>
              <w:bottom w:val="single" w:sz="8" w:color="431C5B"/>
            </w:tcBorders>
            <w:gridSpan w:val="2"/>
          </w:tcPr>
          <w:p>
            <w:pPr>
              <w:jc w:val="right"/>
              <w:ind w:right="59"/>
              <w:spacing w:after="0"/>
              <w:rPr>
                <w:sz w:val="20"/>
                <w:szCs w:val="20"/>
                <w:color w:val="auto"/>
              </w:rPr>
            </w:pPr>
            <w:r>
              <w:rPr>
                <w:rFonts w:ascii="Arial" w:cs="Arial" w:eastAsia="Arial" w:hAnsi="Arial"/>
                <w:sz w:val="14"/>
                <w:szCs w:val="14"/>
                <w:b w:val="1"/>
                <w:bCs w:val="1"/>
                <w:color w:val="431C5B"/>
              </w:rPr>
              <w:t>Results</w:t>
            </w:r>
          </w:p>
        </w:tc>
        <w:tc>
          <w:tcPr>
            <w:tcW w:w="980" w:type="dxa"/>
            <w:vAlign w:val="bottom"/>
            <w:tcBorders>
              <w:bottom w:val="single" w:sz="8" w:color="431C5B"/>
            </w:tcBorders>
          </w:tcPr>
          <w:p>
            <w:pPr>
              <w:jc w:val="right"/>
              <w:ind w:right="63"/>
              <w:spacing w:after="0"/>
              <w:rPr>
                <w:sz w:val="20"/>
                <w:szCs w:val="20"/>
                <w:color w:val="auto"/>
              </w:rPr>
            </w:pPr>
            <w:r>
              <w:rPr>
                <w:rFonts w:ascii="Arial" w:cs="Arial" w:eastAsia="Arial" w:hAnsi="Arial"/>
                <w:sz w:val="14"/>
                <w:szCs w:val="14"/>
                <w:b w:val="1"/>
                <w:bCs w:val="1"/>
                <w:color w:val="431C5B"/>
              </w:rPr>
              <w:t>Exchange</w:t>
            </w:r>
          </w:p>
        </w:tc>
        <w:tc>
          <w:tcPr>
            <w:tcW w:w="1360" w:type="dxa"/>
            <w:vAlign w:val="bottom"/>
            <w:tcBorders>
              <w:bottom w:val="single" w:sz="8" w:color="431C5B"/>
            </w:tcBorders>
            <w:gridSpan w:val="2"/>
          </w:tcPr>
          <w:p>
            <w:pPr>
              <w:jc w:val="right"/>
              <w:ind w:right="59"/>
              <w:spacing w:after="0"/>
              <w:rPr>
                <w:sz w:val="20"/>
                <w:szCs w:val="20"/>
                <w:color w:val="auto"/>
              </w:rPr>
            </w:pPr>
            <w:r>
              <w:rPr>
                <w:rFonts w:ascii="Arial" w:cs="Arial" w:eastAsia="Arial" w:hAnsi="Arial"/>
                <w:sz w:val="14"/>
                <w:szCs w:val="14"/>
                <w:b w:val="1"/>
                <w:bCs w:val="1"/>
                <w:color w:val="431C5B"/>
              </w:rPr>
              <w:t>Other Payments</w:t>
            </w:r>
          </w:p>
        </w:tc>
        <w:tc>
          <w:tcPr>
            <w:tcW w:w="1700" w:type="dxa"/>
            <w:vAlign w:val="bottom"/>
            <w:tcBorders>
              <w:bottom w:val="single" w:sz="8" w:color="431C5B"/>
            </w:tcBorders>
            <w:gridSpan w:val="2"/>
          </w:tcPr>
          <w:p>
            <w:pPr>
              <w:jc w:val="right"/>
              <w:spacing w:after="0"/>
              <w:rPr>
                <w:sz w:val="20"/>
                <w:szCs w:val="20"/>
                <w:color w:val="auto"/>
              </w:rPr>
            </w:pPr>
            <w:r>
              <w:rPr>
                <w:rFonts w:ascii="Arial" w:cs="Arial" w:eastAsia="Arial" w:hAnsi="Arial"/>
                <w:sz w:val="14"/>
                <w:szCs w:val="14"/>
                <w:b w:val="1"/>
                <w:bCs w:val="1"/>
                <w:color w:val="431C5B"/>
              </w:rPr>
              <w:t>Program Metrics</w:t>
            </w:r>
          </w:p>
        </w:tc>
      </w:tr>
      <w:tr>
        <w:trPr>
          <w:trHeight w:val="210"/>
        </w:trPr>
        <w:tc>
          <w:tcPr>
            <w:tcW w:w="246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color w:val="auto"/>
              </w:rPr>
              <w:t>Revenue</w:t>
            </w:r>
          </w:p>
        </w:tc>
        <w:tc>
          <w:tcPr>
            <w:tcW w:w="2260" w:type="dxa"/>
            <w:vAlign w:val="bottom"/>
            <w:tcBorders>
              <w:bottom w:val="single" w:sz="8" w:color="E6E6E6"/>
            </w:tcBorders>
            <w:gridSpan w:val="2"/>
            <w:shd w:val="clear" w:color="auto" w:fill="EEFAEC"/>
          </w:tcPr>
          <w:p>
            <w:pPr>
              <w:ind w:left="1520"/>
              <w:spacing w:after="0"/>
              <w:rPr>
                <w:sz w:val="20"/>
                <w:szCs w:val="20"/>
                <w:color w:val="auto"/>
              </w:rPr>
            </w:pPr>
            <w:r>
              <w:rPr>
                <w:rFonts w:ascii="Arial" w:cs="Arial" w:eastAsia="Arial" w:hAnsi="Arial"/>
                <w:sz w:val="16"/>
                <w:szCs w:val="16"/>
                <w:color w:val="auto"/>
              </w:rPr>
              <w:t>$10,677</w:t>
            </w:r>
          </w:p>
        </w:tc>
        <w:tc>
          <w:tcPr>
            <w:tcW w:w="980" w:type="dxa"/>
            <w:vAlign w:val="bottom"/>
            <w:tcBorders>
              <w:bottom w:val="single" w:sz="8" w:color="E6E6E6"/>
            </w:tcBorders>
            <w:shd w:val="clear" w:color="auto" w:fill="EEFAEC"/>
          </w:tcPr>
          <w:p>
            <w:pPr>
              <w:jc w:val="right"/>
              <w:ind w:right="23"/>
              <w:spacing w:after="0"/>
              <w:rPr>
                <w:sz w:val="20"/>
                <w:szCs w:val="20"/>
                <w:color w:val="auto"/>
              </w:rPr>
            </w:pPr>
            <w:r>
              <w:rPr>
                <w:rFonts w:ascii="Arial" w:cs="Arial" w:eastAsia="Arial" w:hAnsi="Arial"/>
                <w:sz w:val="16"/>
                <w:szCs w:val="16"/>
                <w:color w:val="auto"/>
              </w:rPr>
              <w:t>$(90)</w:t>
            </w:r>
          </w:p>
        </w:tc>
        <w:tc>
          <w:tcPr>
            <w:tcW w:w="84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6E6E6"/>
            </w:tcBorders>
            <w:shd w:val="clear" w:color="auto" w:fill="EEFAEC"/>
          </w:tcPr>
          <w:p>
            <w:pPr>
              <w:jc w:val="right"/>
              <w:ind w:right="19"/>
              <w:spacing w:after="0"/>
              <w:rPr>
                <w:sz w:val="20"/>
                <w:szCs w:val="20"/>
                <w:color w:val="auto"/>
              </w:rPr>
            </w:pPr>
            <w:r>
              <w:rPr>
                <w:rFonts w:ascii="Arial" w:cs="Arial" w:eastAsia="Arial" w:hAnsi="Arial"/>
                <w:sz w:val="16"/>
                <w:szCs w:val="16"/>
                <w:color w:val="auto"/>
              </w:rPr>
              <w:t>(41)</w:t>
            </w:r>
          </w:p>
        </w:tc>
        <w:tc>
          <w:tcPr>
            <w:tcW w:w="1700" w:type="dxa"/>
            <w:vAlign w:val="bottom"/>
            <w:tcBorders>
              <w:bottom w:val="single" w:sz="8" w:color="E6E6E6"/>
            </w:tcBorders>
            <w:gridSpan w:val="2"/>
            <w:shd w:val="clear" w:color="auto" w:fill="EEFAEC"/>
          </w:tcPr>
          <w:p>
            <w:pPr>
              <w:ind w:left="1060"/>
              <w:spacing w:after="0"/>
              <w:rPr>
                <w:sz w:val="20"/>
                <w:szCs w:val="20"/>
                <w:color w:val="auto"/>
              </w:rPr>
            </w:pPr>
            <w:r>
              <w:rPr>
                <w:rFonts w:ascii="Arial" w:cs="Arial" w:eastAsia="Arial" w:hAnsi="Arial"/>
                <w:sz w:val="16"/>
                <w:szCs w:val="16"/>
                <w:color w:val="auto"/>
              </w:rPr>
              <w:t>$10,546</w:t>
            </w:r>
          </w:p>
        </w:tc>
      </w:tr>
      <w:tr>
        <w:trPr>
          <w:trHeight w:val="210"/>
        </w:trPr>
        <w:tc>
          <w:tcPr>
            <w:tcW w:w="246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Adjusted EBITDA</w:t>
            </w:r>
          </w:p>
        </w:tc>
        <w:tc>
          <w:tcPr>
            <w:tcW w:w="1660" w:type="dxa"/>
            <w:vAlign w:val="bottom"/>
            <w:tcBorders>
              <w:bottom w:val="single" w:sz="8" w:color="E6E6E6"/>
            </w:tcBorders>
          </w:tcPr>
          <w:p>
            <w:pPr>
              <w:ind w:left="15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6E6E6"/>
            </w:tcBorders>
          </w:tcPr>
          <w:p>
            <w:pPr>
              <w:jc w:val="right"/>
              <w:ind w:right="79"/>
              <w:spacing w:after="0"/>
              <w:rPr>
                <w:sz w:val="20"/>
                <w:szCs w:val="20"/>
                <w:color w:val="auto"/>
              </w:rPr>
            </w:pPr>
            <w:r>
              <w:rPr>
                <w:rFonts w:ascii="Arial" w:cs="Arial" w:eastAsia="Arial" w:hAnsi="Arial"/>
                <w:sz w:val="16"/>
                <w:szCs w:val="16"/>
                <w:color w:val="auto"/>
              </w:rPr>
              <w:t>4,331</w:t>
            </w:r>
          </w:p>
        </w:tc>
        <w:tc>
          <w:tcPr>
            <w:tcW w:w="980" w:type="dxa"/>
            <w:vAlign w:val="bottom"/>
            <w:tcBorders>
              <w:bottom w:val="single" w:sz="8" w:color="E6E6E6"/>
            </w:tcBorders>
          </w:tcPr>
          <w:p>
            <w:pPr>
              <w:jc w:val="right"/>
              <w:ind w:right="23"/>
              <w:spacing w:after="0"/>
              <w:rPr>
                <w:sz w:val="20"/>
                <w:szCs w:val="20"/>
                <w:color w:val="auto"/>
              </w:rPr>
            </w:pPr>
            <w:r>
              <w:rPr>
                <w:rFonts w:ascii="Arial" w:cs="Arial" w:eastAsia="Arial" w:hAnsi="Arial"/>
                <w:sz w:val="16"/>
                <w:szCs w:val="16"/>
                <w:color w:val="auto"/>
              </w:rPr>
              <w:t>$(17)</w:t>
            </w:r>
          </w:p>
        </w:tc>
        <w:tc>
          <w:tcPr>
            <w:tcW w:w="84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6E6E6"/>
            </w:tcBorders>
          </w:tcPr>
          <w:p>
            <w:pPr>
              <w:jc w:val="right"/>
              <w:ind w:right="19"/>
              <w:spacing w:after="0"/>
              <w:rPr>
                <w:sz w:val="20"/>
                <w:szCs w:val="20"/>
                <w:color w:val="auto"/>
              </w:rPr>
            </w:pPr>
            <w:r>
              <w:rPr>
                <w:rFonts w:ascii="Arial" w:cs="Arial" w:eastAsia="Arial" w:hAnsi="Arial"/>
                <w:sz w:val="16"/>
                <w:szCs w:val="16"/>
                <w:color w:val="auto"/>
              </w:rPr>
              <w:t>(5)</w:t>
            </w:r>
          </w:p>
        </w:tc>
        <w:tc>
          <w:tcPr>
            <w:tcW w:w="1180" w:type="dxa"/>
            <w:vAlign w:val="bottom"/>
            <w:tcBorders>
              <w:bottom w:val="single" w:sz="8" w:color="E6E6E6"/>
            </w:tcBorders>
          </w:tcPr>
          <w:p>
            <w:pPr>
              <w:ind w:left="10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4,309</w:t>
            </w:r>
          </w:p>
        </w:tc>
      </w:tr>
      <w:tr>
        <w:trPr>
          <w:trHeight w:val="209"/>
        </w:trPr>
        <w:tc>
          <w:tcPr>
            <w:tcW w:w="246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color w:val="auto"/>
              </w:rPr>
              <w:t>Adjusted EPS</w:t>
            </w:r>
          </w:p>
        </w:tc>
        <w:tc>
          <w:tcPr>
            <w:tcW w:w="1660" w:type="dxa"/>
            <w:vAlign w:val="bottom"/>
            <w:tcBorders>
              <w:bottom w:val="single" w:sz="8" w:color="431C5B"/>
            </w:tcBorders>
            <w:shd w:val="clear" w:color="auto" w:fill="EEFAEC"/>
          </w:tcPr>
          <w:p>
            <w:pPr>
              <w:ind w:left="15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31C5B"/>
            </w:tcBorders>
            <w:shd w:val="clear" w:color="auto" w:fill="EEFAEC"/>
          </w:tcPr>
          <w:p>
            <w:pPr>
              <w:jc w:val="right"/>
              <w:ind w:right="79"/>
              <w:spacing w:after="0"/>
              <w:rPr>
                <w:sz w:val="20"/>
                <w:szCs w:val="20"/>
                <w:color w:val="auto"/>
              </w:rPr>
            </w:pPr>
            <w:r>
              <w:rPr>
                <w:rFonts w:ascii="Arial" w:cs="Arial" w:eastAsia="Arial" w:hAnsi="Arial"/>
                <w:sz w:val="16"/>
                <w:szCs w:val="16"/>
                <w:color w:val="auto"/>
              </w:rPr>
              <w:t>5.75</w:t>
            </w:r>
          </w:p>
        </w:tc>
        <w:tc>
          <w:tcPr>
            <w:tcW w:w="980" w:type="dxa"/>
            <w:vAlign w:val="bottom"/>
            <w:tcBorders>
              <w:bottom w:val="single" w:sz="8" w:color="431C5B"/>
            </w:tcBorders>
            <w:shd w:val="clear" w:color="auto" w:fill="EEFAEC"/>
          </w:tcPr>
          <w:p>
            <w:pPr>
              <w:jc w:val="right"/>
              <w:ind w:right="8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431C5B"/>
            </w:tcBorders>
            <w:shd w:val="clear" w:color="auto" w:fill="EEFAEC"/>
          </w:tcPr>
          <w:p>
            <w:pPr>
              <w:jc w:val="right"/>
              <w:ind w:right="19"/>
              <w:spacing w:after="0"/>
              <w:rPr>
                <w:sz w:val="20"/>
                <w:szCs w:val="20"/>
                <w:color w:val="auto"/>
              </w:rPr>
            </w:pPr>
            <w:r>
              <w:rPr>
                <w:rFonts w:ascii="Arial" w:cs="Arial" w:eastAsia="Arial" w:hAnsi="Arial"/>
                <w:sz w:val="16"/>
                <w:szCs w:val="16"/>
                <w:color w:val="auto"/>
                <w:w w:val="95"/>
              </w:rPr>
              <w:t>(0.01)</w:t>
            </w:r>
          </w:p>
        </w:tc>
        <w:tc>
          <w:tcPr>
            <w:tcW w:w="1180" w:type="dxa"/>
            <w:vAlign w:val="bottom"/>
            <w:tcBorders>
              <w:bottom w:val="single" w:sz="8" w:color="431C5B"/>
            </w:tcBorders>
            <w:shd w:val="clear" w:color="auto" w:fill="EEFAEC"/>
          </w:tcPr>
          <w:p>
            <w:pPr>
              <w:ind w:left="10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5.74</w:t>
            </w:r>
          </w:p>
        </w:tc>
      </w:tr>
    </w:tbl>
    <w:p>
      <w:pPr>
        <w:spacing w:after="0" w:line="200" w:lineRule="exact"/>
        <w:rPr>
          <w:sz w:val="20"/>
          <w:szCs w:val="20"/>
          <w:color w:val="auto"/>
        </w:rPr>
      </w:pPr>
    </w:p>
    <w:p>
      <w:pPr>
        <w:sectPr>
          <w:pgSz w:w="11900" w:h="16838" w:orient="portrait"/>
          <w:cols w:equalWidth="0" w:num="1">
            <w:col w:w="901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61</w:t>
      </w:r>
    </w:p>
    <w:p>
      <w:pPr>
        <w:sectPr>
          <w:pgSz w:w="11900" w:h="16838" w:orient="portrait"/>
          <w:cols w:equalWidth="0" w:num="1">
            <w:col w:w="9019"/>
          </w:cols>
          <w:pgMar w:left="1440" w:top="657" w:right="1440" w:bottom="1440" w:gutter="0" w:footer="0" w:header="0"/>
          <w:type w:val="continuous"/>
        </w:sectPr>
      </w:pPr>
    </w:p>
    <w:bookmarkStart w:id="64" w:name="page65"/>
    <w:bookmarkEnd w:id="64"/>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15" w:lineRule="exact"/>
        <w:rPr>
          <w:sz w:val="20"/>
          <w:szCs w:val="20"/>
          <w:color w:val="auto"/>
        </w:rPr>
      </w:pPr>
    </w:p>
    <w:p>
      <w:pPr>
        <w:ind w:left="140" w:right="279"/>
        <w:spacing w:after="0" w:line="286" w:lineRule="auto"/>
        <w:rPr>
          <w:sz w:val="20"/>
          <w:szCs w:val="20"/>
          <w:color w:val="auto"/>
        </w:rPr>
      </w:pPr>
      <w:r>
        <w:rPr>
          <w:rFonts w:ascii="Arial" w:cs="Arial" w:eastAsia="Arial" w:hAnsi="Arial"/>
          <w:sz w:val="16"/>
          <w:szCs w:val="16"/>
          <w:b w:val="1"/>
          <w:bCs w:val="1"/>
          <w:color w:val="auto"/>
        </w:rPr>
        <w:t xml:space="preserve">Program Results. </w:t>
      </w:r>
      <w:r>
        <w:rPr>
          <w:rFonts w:ascii="Arial" w:cs="Arial" w:eastAsia="Arial" w:hAnsi="Arial"/>
          <w:sz w:val="16"/>
          <w:szCs w:val="16"/>
          <w:color w:val="auto"/>
        </w:rPr>
        <w:t>The table below shows the performance goals and results for 2025. In the aggregate,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across all four goals led to an overall payout of 100% of the target amount.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31C5B"/>
        </w:rPr>
        <w:t>2025 Annual Cash Incentive Program - Performance Goals and Results</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Calculated</w:t>
            </w:r>
          </w:p>
        </w:tc>
      </w:tr>
      <w:tr>
        <w:trPr>
          <w:trHeight w:val="189"/>
        </w:trPr>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r>
      <w:tr>
        <w:trPr>
          <w:trHeight w:val="189"/>
        </w:trPr>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Performance</w:t>
            </w:r>
          </w:p>
        </w:tc>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(Weight x</w:t>
            </w:r>
          </w:p>
        </w:tc>
      </w:tr>
      <w:tr>
        <w:trPr>
          <w:trHeight w:val="189"/>
        </w:trPr>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Measure</w:t>
            </w:r>
          </w:p>
        </w:tc>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r>
      <w:tr>
        <w:trPr>
          <w:trHeight w:val="171"/>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Weight</w:t>
            </w:r>
          </w:p>
        </w:tc>
        <w:tc>
          <w:tcPr>
            <w:tcW w:w="180" w:type="dxa"/>
            <w:vAlign w:val="bottom"/>
          </w:tcPr>
          <w:p>
            <w:pPr>
              <w:spacing w:after="0"/>
              <w:rPr>
                <w:sz w:val="14"/>
                <w:szCs w:val="14"/>
                <w:color w:val="auto"/>
              </w:rPr>
            </w:pPr>
          </w:p>
        </w:tc>
        <w:tc>
          <w:tcPr>
            <w:tcW w:w="6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Performance and Payout Levels</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r>
      <w:tr>
        <w:trPr>
          <w:trHeight w:val="202"/>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2"/>
          </w:tcPr>
          <w:p>
            <w:pPr>
              <w:jc w:val="center"/>
              <w:ind w:right="200"/>
              <w:spacing w:after="0"/>
              <w:rPr>
                <w:sz w:val="20"/>
                <w:szCs w:val="20"/>
                <w:color w:val="auto"/>
              </w:rPr>
            </w:pPr>
            <w:r>
              <w:rPr>
                <w:rFonts w:ascii="Arial" w:cs="Arial" w:eastAsia="Arial" w:hAnsi="Arial"/>
                <w:sz w:val="14"/>
                <w:szCs w:val="14"/>
                <w:color w:val="auto"/>
              </w:rPr>
              <w:t>($ in millions, except per share amounts)</w:t>
            </w:r>
          </w:p>
        </w:tc>
        <w:tc>
          <w:tcPr>
            <w:tcW w:w="1080" w:type="dxa"/>
            <w:vAlign w:val="bottom"/>
          </w:tcPr>
          <w:p>
            <w:pPr>
              <w:spacing w:after="0"/>
              <w:rPr>
                <w:sz w:val="17"/>
                <w:szCs w:val="17"/>
                <w:color w:val="auto"/>
              </w:rPr>
            </w:pPr>
          </w:p>
        </w:tc>
      </w:tr>
      <w:tr>
        <w:trPr>
          <w:trHeight w:val="525"/>
        </w:trPr>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Revenue Metric</w:t>
            </w:r>
          </w:p>
        </w:tc>
        <w:tc>
          <w:tcPr>
            <w:tcW w:w="6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40% Weight</w:t>
            </w:r>
          </w:p>
        </w:tc>
        <w:tc>
          <w:tcPr>
            <w:tcW w:w="6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38"/>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80" w:type="dxa"/>
        <w:tblCellMar>
          <w:top w:w="0" w:type="dxa"/>
          <w:left w:w="0" w:type="dxa"/>
          <w:bottom w:w="0" w:type="dxa"/>
          <w:right w:w="0" w:type="dxa"/>
        </w:tblCellMar>
      </w:tblPr>
      <w:tr>
        <w:trPr>
          <w:trHeight w:val="176"/>
        </w:trPr>
        <w:tc>
          <w:tcPr>
            <w:tcW w:w="4460" w:type="dxa"/>
            <w:vAlign w:val="bottom"/>
          </w:tcPr>
          <w:p>
            <w:pPr>
              <w:jc w:val="center"/>
              <w:ind w:right="3388"/>
              <w:spacing w:after="0"/>
              <w:rPr>
                <w:sz w:val="20"/>
                <w:szCs w:val="20"/>
                <w:color w:val="auto"/>
              </w:rPr>
            </w:pPr>
            <w:r>
              <w:rPr>
                <w:rFonts w:ascii="Arial" w:cs="Arial" w:eastAsia="Arial" w:hAnsi="Arial"/>
                <w:sz w:val="14"/>
                <w:szCs w:val="14"/>
                <w:b w:val="1"/>
                <w:bCs w:val="1"/>
                <w:color w:val="auto"/>
              </w:rPr>
              <w:t>EBITDA Metric</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Pr>
          <w:p>
            <w:pPr>
              <w:jc w:val="center"/>
              <w:ind w:right="3408"/>
              <w:spacing w:after="0"/>
              <w:rPr>
                <w:sz w:val="20"/>
                <w:szCs w:val="20"/>
                <w:color w:val="auto"/>
              </w:rPr>
            </w:pPr>
            <w:r>
              <w:rPr>
                <w:rFonts w:ascii="Arial" w:cs="Arial" w:eastAsia="Arial" w:hAnsi="Arial"/>
                <w:sz w:val="14"/>
                <w:szCs w:val="14"/>
                <w:b w:val="1"/>
                <w:bCs w:val="1"/>
                <w:color w:val="auto"/>
              </w:rPr>
              <w:t>30% Weight</w:t>
            </w:r>
          </w:p>
        </w:tc>
        <w:tc>
          <w:tcPr>
            <w:tcW w:w="3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4340" w:type="dxa"/>
            <w:vAlign w:val="bottom"/>
          </w:tcPr>
          <w:p>
            <w:pPr>
              <w:jc w:val="center"/>
              <w:ind w:right="3448"/>
              <w:spacing w:after="0"/>
              <w:rPr>
                <w:sz w:val="20"/>
                <w:szCs w:val="20"/>
                <w:color w:val="auto"/>
              </w:rPr>
            </w:pPr>
            <w:r>
              <w:rPr>
                <w:rFonts w:ascii="Arial" w:cs="Arial" w:eastAsia="Arial" w:hAnsi="Arial"/>
                <w:sz w:val="14"/>
                <w:szCs w:val="14"/>
                <w:b w:val="1"/>
                <w:bCs w:val="1"/>
                <w:color w:val="auto"/>
              </w:rPr>
              <w:t>EPS Metric</w:t>
            </w:r>
          </w:p>
        </w:tc>
        <w:tc>
          <w:tcPr>
            <w:tcW w:w="3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3448"/>
              <w:spacing w:after="0"/>
              <w:rPr>
                <w:sz w:val="20"/>
                <w:szCs w:val="20"/>
                <w:color w:val="auto"/>
              </w:rPr>
            </w:pPr>
            <w:r>
              <w:rPr>
                <w:rFonts w:ascii="Arial" w:cs="Arial" w:eastAsia="Arial" w:hAnsi="Arial"/>
                <w:sz w:val="14"/>
                <w:szCs w:val="14"/>
                <w:b w:val="1"/>
                <w:bCs w:val="1"/>
                <w:color w:val="auto"/>
              </w:rPr>
              <w:t>20% Weight</w:t>
            </w: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340" w:type="dxa"/>
            <w:vAlign w:val="bottom"/>
            <w:vMerge w:val="continue"/>
          </w:tcPr>
          <w:p>
            <w:pPr>
              <w:spacing w:after="0"/>
              <w:rPr>
                <w:sz w:val="8"/>
                <w:szCs w:val="8"/>
                <w:color w:val="auto"/>
              </w:rPr>
            </w:pPr>
          </w:p>
        </w:tc>
        <w:tc>
          <w:tcPr>
            <w:tcW w:w="3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Net Promoter</w:t>
      </w:r>
    </w:p>
    <w:p>
      <w:pPr>
        <w:spacing w:after="0" w:line="35" w:lineRule="exact"/>
        <w:rPr>
          <w:sz w:val="20"/>
          <w:szCs w:val="20"/>
          <w:color w:val="auto"/>
        </w:rPr>
      </w:pPr>
    </w:p>
    <w:p>
      <w:pPr>
        <w:ind w:left="580"/>
        <w:spacing w:after="0"/>
        <w:tabs>
          <w:tab w:leader="none" w:pos="3160" w:val="left"/>
          <w:tab w:leader="none" w:pos="8240" w:val="left"/>
        </w:tabs>
        <w:rPr>
          <w:sz w:val="20"/>
          <w:szCs w:val="20"/>
          <w:color w:val="auto"/>
        </w:rPr>
      </w:pPr>
      <w:r>
        <w:rPr>
          <w:rFonts w:ascii="Arial" w:cs="Arial" w:eastAsia="Arial" w:hAnsi="Arial"/>
          <w:sz w:val="14"/>
          <w:szCs w:val="14"/>
          <w:b w:val="1"/>
          <w:bCs w:val="1"/>
          <w:color w:val="auto"/>
        </w:rPr>
        <w:t>Score</w:t>
      </w:r>
      <w:r>
        <w:rPr>
          <w:sz w:val="20"/>
          <w:szCs w:val="20"/>
          <w:color w:val="auto"/>
        </w:rPr>
        <w:tab/>
      </w:r>
      <w:r>
        <w:rPr>
          <w:rFonts w:ascii="Arial" w:cs="Arial" w:eastAsia="Arial" w:hAnsi="Arial"/>
          <w:sz w:val="14"/>
          <w:szCs w:val="14"/>
          <w:b w:val="1"/>
          <w:bCs w:val="1"/>
          <w:color w:val="auto"/>
        </w:rPr>
        <w:t>Balanced scorecard for goals and results</w:t>
      </w:r>
      <w:r>
        <w:rPr>
          <w:sz w:val="20"/>
          <w:szCs w:val="20"/>
          <w:color w:val="auto"/>
        </w:rPr>
        <w:tab/>
      </w:r>
      <w:r>
        <w:rPr>
          <w:rFonts w:ascii="Arial" w:cs="Arial" w:eastAsia="Arial" w:hAnsi="Arial"/>
          <w:sz w:val="13"/>
          <w:szCs w:val="13"/>
          <w:b w:val="1"/>
          <w:bCs w:val="1"/>
          <w:color w:val="auto"/>
        </w:rPr>
        <w:t>5%</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10% Weight</w:t>
      </w:r>
    </w:p>
    <w:p>
      <w:pPr>
        <w:spacing w:after="0" w:line="232" w:lineRule="exact"/>
        <w:rPr>
          <w:sz w:val="20"/>
          <w:szCs w:val="20"/>
          <w:color w:val="auto"/>
        </w:rPr>
      </w:pPr>
    </w:p>
    <w:p>
      <w:pPr>
        <w:ind w:left="140" w:right="459"/>
        <w:spacing w:after="0" w:line="275" w:lineRule="auto"/>
        <w:rPr>
          <w:sz w:val="20"/>
          <w:szCs w:val="20"/>
          <w:color w:val="auto"/>
        </w:rPr>
      </w:pPr>
      <w:r>
        <w:rPr>
          <w:rFonts w:ascii="Arial" w:cs="Arial" w:eastAsia="Arial" w:hAnsi="Arial"/>
          <w:sz w:val="16"/>
          <w:szCs w:val="16"/>
          <w:color w:val="auto"/>
        </w:rPr>
        <w:t>The Compensation Committee determined the total annual incentive award payment for each NEO based on the Company’s performance as compared to each of the applicable performance measures described above following the filing of the Company’s audited financial statements in our Annual Report on Form 10-K for 2025.</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Long-Term Equity Incentives</w:t>
      </w:r>
    </w:p>
    <w:p>
      <w:pPr>
        <w:spacing w:after="0" w:line="114" w:lineRule="exact"/>
        <w:rPr>
          <w:sz w:val="20"/>
          <w:szCs w:val="20"/>
          <w:color w:val="auto"/>
        </w:rPr>
      </w:pPr>
    </w:p>
    <w:p>
      <w:pPr>
        <w:ind w:left="140" w:right="239"/>
        <w:spacing w:after="0" w:line="282" w:lineRule="auto"/>
        <w:rPr>
          <w:sz w:val="20"/>
          <w:szCs w:val="20"/>
          <w:color w:val="auto"/>
        </w:rPr>
      </w:pPr>
      <w:r>
        <w:rPr>
          <w:rFonts w:ascii="Arial" w:cs="Arial" w:eastAsia="Arial" w:hAnsi="Arial"/>
          <w:sz w:val="16"/>
          <w:szCs w:val="16"/>
          <w:color w:val="auto"/>
        </w:rPr>
        <w:t>In 2025, the Company used an annual equity grant mix for our NEOs that included a mix of PSUs and RSUs. The equity grants all contain a three-year vesting period, with the PSUs cliff-vesting (based on performance and service) at the end of the performance period and the RSUs vesting ratably in three equal annual installments based on continued service. The PSUs and RSUs each accounted for 50% of the total annual grant for Ms. Tsai and Messrs. Bhathena and Toohey. For Ms. Ferris and Mr. Kehoe, the PSUs accounted for 65% of the total annual grant, with the RSUs accounting for the remaining 35% of the total annual grant.</w:t>
      </w:r>
    </w:p>
    <w:p>
      <w:pPr>
        <w:spacing w:after="0" w:line="80" w:lineRule="exact"/>
        <w:rPr>
          <w:sz w:val="20"/>
          <w:szCs w:val="20"/>
          <w:color w:val="auto"/>
        </w:rPr>
      </w:pPr>
    </w:p>
    <w:p>
      <w:pPr>
        <w:jc w:val="both"/>
        <w:ind w:left="140" w:right="279"/>
        <w:spacing w:after="0" w:line="283" w:lineRule="auto"/>
        <w:rPr>
          <w:sz w:val="20"/>
          <w:szCs w:val="20"/>
          <w:color w:val="auto"/>
        </w:rPr>
      </w:pPr>
      <w:r>
        <w:rPr>
          <w:rFonts w:ascii="Arial" w:cs="Arial" w:eastAsia="Arial" w:hAnsi="Arial"/>
          <w:sz w:val="16"/>
          <w:szCs w:val="16"/>
          <w:color w:val="auto"/>
        </w:rPr>
        <w:t>We use this grant framework to align with our peer group and the growing trend in long-term incentive grants of adopting three-year based goals for performance-based equity, to differentiate the performance measures used in the PSUs from those used in the Company's annual cash incentive program and to utilize the shares more efficiently in our shareholder approved equity plan.</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20" w:hanging="429"/>
        <w:spacing w:after="0"/>
        <w:tabs>
          <w:tab w:leader="none" w:pos="620" w:val="left"/>
        </w:tabs>
        <w:numPr>
          <w:ilvl w:val="0"/>
          <w:numId w:val="88"/>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65" w:name="page66"/>
    <w:bookmarkEnd w:id="65"/>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31C5B"/>
        </w:rPr>
        <w:t>2025 Annual Long-Term Incentive Awards</w:t>
      </w:r>
      <w:r>
        <w:rPr>
          <w:rFonts w:ascii="Arial" w:cs="Arial" w:eastAsia="Arial" w:hAnsi="Arial"/>
          <w:sz w:val="21"/>
          <w:szCs w:val="21"/>
          <w:b w:val="1"/>
          <w:bCs w:val="1"/>
          <w:color w:val="431C5B"/>
          <w:vertAlign w:val="superscript"/>
        </w:rPr>
        <w:t>(1)</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36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2820" w:type="dxa"/>
            <w:vAlign w:val="bottom"/>
            <w:tcBorders>
              <w:bottom w:val="single" w:sz="8" w:color="431C5B"/>
            </w:tcBorders>
          </w:tcPr>
          <w:p>
            <w:pPr>
              <w:jc w:val="right"/>
              <w:ind w:right="61"/>
              <w:spacing w:after="0"/>
              <w:rPr>
                <w:sz w:val="20"/>
                <w:szCs w:val="20"/>
                <w:color w:val="auto"/>
              </w:rPr>
            </w:pPr>
            <w:r>
              <w:rPr>
                <w:rFonts w:ascii="Arial" w:cs="Arial" w:eastAsia="Arial" w:hAnsi="Arial"/>
                <w:sz w:val="14"/>
                <w:szCs w:val="14"/>
                <w:b w:val="1"/>
                <w:bCs w:val="1"/>
                <w:color w:val="431C5B"/>
              </w:rPr>
              <w:t>RSUs</w:t>
            </w:r>
          </w:p>
        </w:tc>
        <w:tc>
          <w:tcPr>
            <w:tcW w:w="260" w:type="dxa"/>
            <w:vAlign w:val="bottom"/>
            <w:tcBorders>
              <w:bottom w:val="single" w:sz="8" w:color="431C5B"/>
            </w:tcBorders>
          </w:tcPr>
          <w:p>
            <w:pPr>
              <w:spacing w:after="0"/>
              <w:rPr>
                <w:sz w:val="17"/>
                <w:szCs w:val="17"/>
                <w:color w:val="auto"/>
              </w:rPr>
            </w:pPr>
          </w:p>
        </w:tc>
        <w:tc>
          <w:tcPr>
            <w:tcW w:w="880" w:type="dxa"/>
            <w:vAlign w:val="bottom"/>
            <w:tcBorders>
              <w:bottom w:val="single" w:sz="8" w:color="431C5B"/>
            </w:tcBorders>
          </w:tcPr>
          <w:p>
            <w:pPr>
              <w:jc w:val="right"/>
              <w:ind w:right="21"/>
              <w:spacing w:after="0"/>
              <w:rPr>
                <w:sz w:val="20"/>
                <w:szCs w:val="20"/>
                <w:color w:val="auto"/>
              </w:rPr>
            </w:pPr>
            <w:r>
              <w:rPr>
                <w:rFonts w:ascii="Arial" w:cs="Arial" w:eastAsia="Arial" w:hAnsi="Arial"/>
                <w:sz w:val="14"/>
                <w:szCs w:val="14"/>
                <w:b w:val="1"/>
                <w:bCs w:val="1"/>
                <w:color w:val="431C5B"/>
              </w:rPr>
              <w:t>PSUs</w:t>
            </w:r>
          </w:p>
        </w:tc>
        <w:tc>
          <w:tcPr>
            <w:tcW w:w="1440" w:type="dxa"/>
            <w:vAlign w:val="bottom"/>
            <w:tcBorders>
              <w:bottom w:val="single" w:sz="8" w:color="431C5B"/>
            </w:tcBorders>
            <w:gridSpan w:val="2"/>
          </w:tcPr>
          <w:p>
            <w:pPr>
              <w:jc w:val="right"/>
              <w:spacing w:after="0"/>
              <w:rPr>
                <w:sz w:val="20"/>
                <w:szCs w:val="20"/>
                <w:color w:val="auto"/>
              </w:rPr>
            </w:pPr>
            <w:r>
              <w:rPr>
                <w:rFonts w:ascii="Arial" w:cs="Arial" w:eastAsia="Arial" w:hAnsi="Arial"/>
                <w:sz w:val="14"/>
                <w:szCs w:val="14"/>
                <w:b w:val="1"/>
                <w:bCs w:val="1"/>
                <w:color w:val="431C5B"/>
              </w:rPr>
              <w:t xml:space="preserve">Total LTI Granted </w:t>
            </w:r>
            <w:r>
              <w:rPr>
                <w:rFonts w:ascii="Arial" w:cs="Arial" w:eastAsia="Arial" w:hAnsi="Arial"/>
                <w:sz w:val="18"/>
                <w:szCs w:val="18"/>
                <w:b w:val="1"/>
                <w:bCs w:val="1"/>
                <w:color w:val="431C5B"/>
                <w:vertAlign w:val="superscript"/>
              </w:rPr>
              <w:t>(1)</w:t>
            </w:r>
          </w:p>
        </w:tc>
      </w:tr>
      <w:tr>
        <w:trPr>
          <w:trHeight w:val="210"/>
        </w:trPr>
        <w:tc>
          <w:tcPr>
            <w:tcW w:w="336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Stephanie L. Ferris</w:t>
            </w:r>
          </w:p>
        </w:tc>
        <w:tc>
          <w:tcPr>
            <w:tcW w:w="2820" w:type="dxa"/>
            <w:vAlign w:val="bottom"/>
            <w:tcBorders>
              <w:bottom w:val="single" w:sz="8" w:color="E6E6E6"/>
            </w:tcBorders>
            <w:shd w:val="clear" w:color="auto" w:fill="EEFAEC"/>
          </w:tcPr>
          <w:p>
            <w:pPr>
              <w:jc w:val="right"/>
              <w:ind w:right="81"/>
              <w:spacing w:after="0"/>
              <w:rPr>
                <w:sz w:val="20"/>
                <w:szCs w:val="20"/>
                <w:color w:val="auto"/>
              </w:rPr>
            </w:pPr>
            <w:r>
              <w:rPr>
                <w:rFonts w:ascii="Arial" w:cs="Arial" w:eastAsia="Arial" w:hAnsi="Arial"/>
                <w:sz w:val="16"/>
                <w:szCs w:val="16"/>
                <w:color w:val="auto"/>
              </w:rPr>
              <w:t>$6,475,000</w:t>
            </w:r>
          </w:p>
        </w:tc>
        <w:tc>
          <w:tcPr>
            <w:tcW w:w="1140" w:type="dxa"/>
            <w:vAlign w:val="bottom"/>
            <w:tcBorders>
              <w:bottom w:val="single" w:sz="8" w:color="E6E6E6"/>
            </w:tcBorders>
            <w:gridSpan w:val="2"/>
            <w:shd w:val="clear" w:color="auto" w:fill="EEFAEC"/>
          </w:tcPr>
          <w:p>
            <w:pPr>
              <w:jc w:val="right"/>
              <w:ind w:right="41"/>
              <w:spacing w:after="0"/>
              <w:rPr>
                <w:sz w:val="20"/>
                <w:szCs w:val="20"/>
                <w:color w:val="auto"/>
              </w:rPr>
            </w:pPr>
            <w:r>
              <w:rPr>
                <w:rFonts w:ascii="Arial" w:cs="Arial" w:eastAsia="Arial" w:hAnsi="Arial"/>
                <w:sz w:val="16"/>
                <w:szCs w:val="16"/>
                <w:color w:val="auto"/>
              </w:rPr>
              <w:t>$12,025,000</w:t>
            </w:r>
          </w:p>
        </w:tc>
        <w:tc>
          <w:tcPr>
            <w:tcW w:w="144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6"/>
                <w:szCs w:val="16"/>
                <w:color w:val="auto"/>
              </w:rPr>
              <w:t>$18,500,000</w:t>
            </w:r>
          </w:p>
        </w:tc>
      </w:tr>
      <w:tr>
        <w:trPr>
          <w:trHeight w:val="209"/>
        </w:trPr>
        <w:tc>
          <w:tcPr>
            <w:tcW w:w="336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James Kehoe</w:t>
            </w:r>
          </w:p>
        </w:tc>
        <w:tc>
          <w:tcPr>
            <w:tcW w:w="2820" w:type="dxa"/>
            <w:vAlign w:val="bottom"/>
            <w:tcBorders>
              <w:bottom w:val="single" w:sz="8" w:color="E6E6E6"/>
            </w:tcBorders>
          </w:tcPr>
          <w:p>
            <w:pPr>
              <w:jc w:val="right"/>
              <w:ind w:right="81"/>
              <w:spacing w:after="0"/>
              <w:rPr>
                <w:sz w:val="20"/>
                <w:szCs w:val="20"/>
                <w:color w:val="auto"/>
              </w:rPr>
            </w:pPr>
            <w:r>
              <w:rPr>
                <w:rFonts w:ascii="Arial" w:cs="Arial" w:eastAsia="Arial" w:hAnsi="Arial"/>
                <w:sz w:val="16"/>
                <w:szCs w:val="16"/>
                <w:color w:val="auto"/>
              </w:rPr>
              <w:t>$2,100,000</w:t>
            </w:r>
          </w:p>
        </w:tc>
        <w:tc>
          <w:tcPr>
            <w:tcW w:w="26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6E6E6"/>
            </w:tcBorders>
          </w:tcPr>
          <w:p>
            <w:pPr>
              <w:jc w:val="right"/>
              <w:ind w:right="41"/>
              <w:spacing w:after="0"/>
              <w:rPr>
                <w:sz w:val="20"/>
                <w:szCs w:val="20"/>
                <w:color w:val="auto"/>
              </w:rPr>
            </w:pPr>
            <w:r>
              <w:rPr>
                <w:rFonts w:ascii="Arial" w:cs="Arial" w:eastAsia="Arial" w:hAnsi="Arial"/>
                <w:sz w:val="16"/>
                <w:szCs w:val="16"/>
                <w:color w:val="auto"/>
              </w:rPr>
              <w:t>3,900,000</w:t>
            </w:r>
          </w:p>
        </w:tc>
        <w:tc>
          <w:tcPr>
            <w:tcW w:w="6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6,000,000</w:t>
            </w:r>
          </w:p>
        </w:tc>
      </w:tr>
      <w:tr>
        <w:trPr>
          <w:trHeight w:val="210"/>
        </w:trPr>
        <w:tc>
          <w:tcPr>
            <w:tcW w:w="336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Firdaus Bhathena</w:t>
            </w:r>
          </w:p>
        </w:tc>
        <w:tc>
          <w:tcPr>
            <w:tcW w:w="2820" w:type="dxa"/>
            <w:vAlign w:val="bottom"/>
            <w:tcBorders>
              <w:bottom w:val="single" w:sz="8" w:color="E6E6E6"/>
            </w:tcBorders>
            <w:shd w:val="clear" w:color="auto" w:fill="EEFAEC"/>
          </w:tcPr>
          <w:p>
            <w:pPr>
              <w:jc w:val="right"/>
              <w:ind w:right="81"/>
              <w:spacing w:after="0"/>
              <w:rPr>
                <w:sz w:val="20"/>
                <w:szCs w:val="20"/>
                <w:color w:val="auto"/>
              </w:rPr>
            </w:pPr>
            <w:r>
              <w:rPr>
                <w:rFonts w:ascii="Arial" w:cs="Arial" w:eastAsia="Arial" w:hAnsi="Arial"/>
                <w:sz w:val="16"/>
                <w:szCs w:val="16"/>
                <w:color w:val="auto"/>
              </w:rPr>
              <w:t>$2,000,000</w:t>
            </w:r>
          </w:p>
        </w:tc>
        <w:tc>
          <w:tcPr>
            <w:tcW w:w="26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6E6E6"/>
            </w:tcBorders>
            <w:shd w:val="clear" w:color="auto" w:fill="EEFAEC"/>
          </w:tcPr>
          <w:p>
            <w:pPr>
              <w:jc w:val="right"/>
              <w:ind w:right="41"/>
              <w:spacing w:after="0"/>
              <w:rPr>
                <w:sz w:val="20"/>
                <w:szCs w:val="20"/>
                <w:color w:val="auto"/>
              </w:rPr>
            </w:pPr>
            <w:r>
              <w:rPr>
                <w:rFonts w:ascii="Arial" w:cs="Arial" w:eastAsia="Arial" w:hAnsi="Arial"/>
                <w:sz w:val="16"/>
                <w:szCs w:val="16"/>
                <w:color w:val="auto"/>
              </w:rPr>
              <w:t>2,000,000</w:t>
            </w:r>
          </w:p>
        </w:tc>
        <w:tc>
          <w:tcPr>
            <w:tcW w:w="6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4,000,000</w:t>
            </w:r>
          </w:p>
        </w:tc>
      </w:tr>
      <w:tr>
        <w:trPr>
          <w:trHeight w:val="209"/>
        </w:trPr>
        <w:tc>
          <w:tcPr>
            <w:tcW w:w="336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Robert Toohey</w:t>
            </w:r>
          </w:p>
        </w:tc>
        <w:tc>
          <w:tcPr>
            <w:tcW w:w="2820" w:type="dxa"/>
            <w:vAlign w:val="bottom"/>
            <w:tcBorders>
              <w:bottom w:val="single" w:sz="8" w:color="E6E6E6"/>
            </w:tcBorders>
          </w:tcPr>
          <w:p>
            <w:pPr>
              <w:jc w:val="right"/>
              <w:ind w:right="81"/>
              <w:spacing w:after="0"/>
              <w:rPr>
                <w:sz w:val="20"/>
                <w:szCs w:val="20"/>
                <w:color w:val="auto"/>
              </w:rPr>
            </w:pPr>
            <w:r>
              <w:rPr>
                <w:rFonts w:ascii="Arial" w:cs="Arial" w:eastAsia="Arial" w:hAnsi="Arial"/>
                <w:sz w:val="16"/>
                <w:szCs w:val="16"/>
                <w:color w:val="auto"/>
              </w:rPr>
              <w:t>$1,500,000</w:t>
            </w:r>
          </w:p>
        </w:tc>
        <w:tc>
          <w:tcPr>
            <w:tcW w:w="26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6E6E6"/>
            </w:tcBorders>
          </w:tcPr>
          <w:p>
            <w:pPr>
              <w:jc w:val="right"/>
              <w:ind w:right="41"/>
              <w:spacing w:after="0"/>
              <w:rPr>
                <w:sz w:val="20"/>
                <w:szCs w:val="20"/>
                <w:color w:val="auto"/>
              </w:rPr>
            </w:pPr>
            <w:r>
              <w:rPr>
                <w:rFonts w:ascii="Arial" w:cs="Arial" w:eastAsia="Arial" w:hAnsi="Arial"/>
                <w:sz w:val="16"/>
                <w:szCs w:val="16"/>
                <w:color w:val="auto"/>
              </w:rPr>
              <w:t>1,500,000</w:t>
            </w:r>
          </w:p>
        </w:tc>
        <w:tc>
          <w:tcPr>
            <w:tcW w:w="6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3,000,000</w:t>
            </w:r>
          </w:p>
        </w:tc>
      </w:tr>
      <w:tr>
        <w:trPr>
          <w:trHeight w:val="209"/>
        </w:trPr>
        <w:tc>
          <w:tcPr>
            <w:tcW w:w="336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Caroline Tsai</w:t>
            </w:r>
          </w:p>
        </w:tc>
        <w:tc>
          <w:tcPr>
            <w:tcW w:w="2820" w:type="dxa"/>
            <w:vAlign w:val="bottom"/>
            <w:tcBorders>
              <w:bottom w:val="single" w:sz="8" w:color="431C5B"/>
            </w:tcBorders>
            <w:shd w:val="clear" w:color="auto" w:fill="EEFAEC"/>
          </w:tcPr>
          <w:p>
            <w:pPr>
              <w:jc w:val="right"/>
              <w:ind w:right="81"/>
              <w:spacing w:after="0"/>
              <w:rPr>
                <w:sz w:val="20"/>
                <w:szCs w:val="20"/>
                <w:color w:val="auto"/>
              </w:rPr>
            </w:pPr>
            <w:r>
              <w:rPr>
                <w:rFonts w:ascii="Arial" w:cs="Arial" w:eastAsia="Arial" w:hAnsi="Arial"/>
                <w:sz w:val="16"/>
                <w:szCs w:val="16"/>
                <w:color w:val="auto"/>
              </w:rPr>
              <w:t>$2,000,000</w:t>
            </w:r>
          </w:p>
        </w:tc>
        <w:tc>
          <w:tcPr>
            <w:tcW w:w="26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31C5B"/>
            </w:tcBorders>
            <w:shd w:val="clear" w:color="auto" w:fill="EEFAEC"/>
          </w:tcPr>
          <w:p>
            <w:pPr>
              <w:jc w:val="right"/>
              <w:ind w:right="41"/>
              <w:spacing w:after="0"/>
              <w:rPr>
                <w:sz w:val="20"/>
                <w:szCs w:val="20"/>
                <w:color w:val="auto"/>
              </w:rPr>
            </w:pPr>
            <w:r>
              <w:rPr>
                <w:rFonts w:ascii="Arial" w:cs="Arial" w:eastAsia="Arial" w:hAnsi="Arial"/>
                <w:sz w:val="16"/>
                <w:szCs w:val="16"/>
                <w:color w:val="auto"/>
              </w:rPr>
              <w:t>2,000,000</w:t>
            </w:r>
          </w:p>
        </w:tc>
        <w:tc>
          <w:tcPr>
            <w:tcW w:w="60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4,000,000</w:t>
            </w:r>
          </w:p>
        </w:tc>
      </w:tr>
    </w:tbl>
    <w:p>
      <w:pPr>
        <w:spacing w:after="0" w:line="158" w:lineRule="exact"/>
        <w:rPr>
          <w:sz w:val="20"/>
          <w:szCs w:val="20"/>
          <w:color w:val="auto"/>
        </w:rPr>
      </w:pPr>
    </w:p>
    <w:p>
      <w:pPr>
        <w:ind w:left="380" w:right="1119" w:hanging="250"/>
        <w:spacing w:after="0" w:line="236" w:lineRule="auto"/>
        <w:tabs>
          <w:tab w:leader="none" w:pos="380" w:val="left"/>
        </w:tabs>
        <w:numPr>
          <w:ilvl w:val="0"/>
          <w:numId w:val="89"/>
        </w:numPr>
        <w:rPr>
          <w:rFonts w:ascii="Arial" w:cs="Arial" w:eastAsia="Arial" w:hAnsi="Arial"/>
          <w:sz w:val="16"/>
          <w:szCs w:val="16"/>
          <w:color w:val="auto"/>
          <w:vertAlign w:val="superscript"/>
        </w:rPr>
      </w:pPr>
      <w:r>
        <w:rPr>
          <w:rFonts w:ascii="Arial" w:cs="Arial" w:eastAsia="Arial" w:hAnsi="Arial"/>
          <w:sz w:val="13"/>
          <w:szCs w:val="13"/>
          <w:color w:val="auto"/>
        </w:rPr>
        <w:t>Reflects grant values approved by the Compensation Committee which differs from the ASC 718 values reported in the 2025 Summary Compensation Table.</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intend for our long-term equity incentives to:</w:t>
      </w:r>
    </w:p>
    <w:p>
      <w:pPr>
        <w:spacing w:after="0" w:line="194" w:lineRule="exact"/>
        <w:rPr>
          <w:sz w:val="20"/>
          <w:szCs w:val="20"/>
          <w:color w:val="auto"/>
        </w:rPr>
      </w:pPr>
    </w:p>
    <w:p>
      <w:pPr>
        <w:ind w:left="320" w:right="939" w:hanging="190"/>
        <w:spacing w:after="0" w:line="304" w:lineRule="auto"/>
        <w:tabs>
          <w:tab w:leader="none" w:pos="3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tie NEOs’ long-term financial interests to the Company’s performance and to the long-term financial interests of shareholders;</w:t>
      </w:r>
    </w:p>
    <w:p>
      <w:pPr>
        <w:spacing w:after="0" w:line="6" w:lineRule="exact"/>
        <w:rPr>
          <w:rFonts w:ascii="Arial" w:cs="Arial" w:eastAsia="Arial" w:hAnsi="Arial"/>
          <w:sz w:val="16"/>
          <w:szCs w:val="16"/>
          <w:color w:val="auto"/>
        </w:rPr>
      </w:pPr>
    </w:p>
    <w:p>
      <w:pPr>
        <w:ind w:left="320" w:hanging="190"/>
        <w:spacing w:after="0"/>
        <w:tabs>
          <w:tab w:leader="none" w:pos="3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retain the NEOs over the multi-year vesting period; and</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maintain market-competitive levels of total compensation.</w:t>
      </w:r>
    </w:p>
    <w:p>
      <w:pPr>
        <w:spacing w:after="0" w:line="181" w:lineRule="exact"/>
        <w:rPr>
          <w:sz w:val="20"/>
          <w:szCs w:val="20"/>
          <w:color w:val="auto"/>
        </w:rPr>
      </w:pPr>
    </w:p>
    <w:p>
      <w:pPr>
        <w:ind w:left="140" w:right="519"/>
        <w:spacing w:after="0" w:line="277" w:lineRule="auto"/>
        <w:rPr>
          <w:sz w:val="20"/>
          <w:szCs w:val="20"/>
          <w:color w:val="auto"/>
        </w:rPr>
      </w:pPr>
      <w:r>
        <w:rPr>
          <w:rFonts w:ascii="Arial" w:cs="Arial" w:eastAsia="Arial" w:hAnsi="Arial"/>
          <w:sz w:val="16"/>
          <w:szCs w:val="16"/>
          <w:color w:val="auto"/>
        </w:rPr>
        <w:t>Ms. Ferris’ 2025 annual long-term incentive award of $18.5 million represented an increase of $3.5 million from the $15 million annual long-term incentive award she received in 2024. The reasons for the Compensation Committee’s decision to increase Ms. Ferris’ annual long-term incentive award in 2025 are described above under “2025 Total Compensation.” With this increase, the portion of Ms. Ferris’ total target compensation that is in the form of long-term awards and tied to the Company’s long-term financial performance and stock price is slightly above the peer</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group median.</w:t>
      </w:r>
    </w:p>
    <w:p>
      <w:pPr>
        <w:spacing w:after="0" w:line="101" w:lineRule="exact"/>
        <w:rPr>
          <w:sz w:val="20"/>
          <w:szCs w:val="20"/>
          <w:color w:val="auto"/>
        </w:rPr>
      </w:pPr>
    </w:p>
    <w:p>
      <w:pPr>
        <w:ind w:left="140" w:right="239"/>
        <w:spacing w:after="0" w:line="289" w:lineRule="auto"/>
        <w:rPr>
          <w:sz w:val="20"/>
          <w:szCs w:val="20"/>
          <w:color w:val="auto"/>
        </w:rPr>
      </w:pPr>
      <w:r>
        <w:rPr>
          <w:rFonts w:ascii="Arial" w:cs="Arial" w:eastAsia="Arial" w:hAnsi="Arial"/>
          <w:sz w:val="16"/>
          <w:szCs w:val="16"/>
          <w:color w:val="auto"/>
        </w:rPr>
        <w:t>Mr. Bhathena’s and Ms. Tsai’s 2025 annual long-term incentive awards of $4.0 million represented increases of $700,000 and $500,000, respectively, from the $3.3 million and $3.5 million annual long-term incentive awards they received, respectively, in 2024. The Compensation Committee decided to increase their 2025 annual long-term incentive awards in line with NEO compensation structural changes.</w:t>
      </w:r>
    </w:p>
    <w:p>
      <w:pPr>
        <w:spacing w:after="0" w:line="59" w:lineRule="exact"/>
        <w:rPr>
          <w:sz w:val="20"/>
          <w:szCs w:val="20"/>
          <w:color w:val="auto"/>
        </w:rPr>
      </w:pPr>
    </w:p>
    <w:p>
      <w:pPr>
        <w:ind w:left="140" w:right="1119"/>
        <w:spacing w:after="0" w:line="304" w:lineRule="auto"/>
        <w:rPr>
          <w:sz w:val="20"/>
          <w:szCs w:val="20"/>
          <w:color w:val="auto"/>
        </w:rPr>
      </w:pPr>
      <w:r>
        <w:rPr>
          <w:rFonts w:ascii="Arial" w:cs="Arial" w:eastAsia="Arial" w:hAnsi="Arial"/>
          <w:sz w:val="16"/>
          <w:szCs w:val="16"/>
          <w:color w:val="auto"/>
        </w:rPr>
        <w:t>Mr. Toohey joined the Company in late 2024. The long-term incentive award he received in 2025 was his first annual award.</w:t>
      </w:r>
    </w:p>
    <w:p>
      <w:pPr>
        <w:spacing w:after="0" w:line="33" w:lineRule="exact"/>
        <w:rPr>
          <w:sz w:val="20"/>
          <w:szCs w:val="20"/>
          <w:color w:val="auto"/>
        </w:rPr>
      </w:pPr>
    </w:p>
    <w:p>
      <w:pPr>
        <w:ind w:left="140" w:right="439"/>
        <w:spacing w:after="0" w:line="321" w:lineRule="auto"/>
        <w:rPr>
          <w:sz w:val="20"/>
          <w:szCs w:val="20"/>
          <w:color w:val="auto"/>
        </w:rPr>
      </w:pPr>
      <w:r>
        <w:rPr>
          <w:rFonts w:ascii="Arial" w:cs="Arial" w:eastAsia="Arial" w:hAnsi="Arial"/>
          <w:sz w:val="16"/>
          <w:szCs w:val="16"/>
          <w:color w:val="auto"/>
        </w:rPr>
        <w:t>Further details concerning the equity-based awards granted in 2025 to our NEOs are provided in the 2025 Grants of Plan-Based Awards table and the 2025 Outstanding Equity Awards at Fiscal Year-End table and the related footnotes.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Terms: PSU grants made in 2025 and 2024</w:t>
      </w:r>
    </w:p>
    <w:p>
      <w:pPr>
        <w:spacing w:after="0" w:line="86" w:lineRule="exact"/>
        <w:rPr>
          <w:sz w:val="20"/>
          <w:szCs w:val="20"/>
          <w:color w:val="auto"/>
        </w:rPr>
      </w:pPr>
    </w:p>
    <w:p>
      <w:pPr>
        <w:jc w:val="both"/>
        <w:ind w:left="140" w:right="199"/>
        <w:spacing w:after="0" w:line="289" w:lineRule="auto"/>
        <w:rPr>
          <w:sz w:val="20"/>
          <w:szCs w:val="20"/>
          <w:color w:val="auto"/>
        </w:rPr>
      </w:pPr>
      <w:r>
        <w:rPr>
          <w:rFonts w:ascii="Arial" w:cs="Arial" w:eastAsia="Arial" w:hAnsi="Arial"/>
          <w:sz w:val="16"/>
          <w:szCs w:val="16"/>
          <w:color w:val="auto"/>
        </w:rPr>
        <w:t>The design and terms of the PSUs granted in 2025 were similar to those granted in 2024, in order to provide continuity of focus and objectives. The two principal differences between the 2025 PSUs and the 2024 PSUs relate to the scale that is used to calibrate the percentage of the target number of shares earned against performance and the inclusion of an rTSR modifier in all grants, as described below.</w:t>
      </w:r>
    </w:p>
    <w:p>
      <w:pPr>
        <w:spacing w:after="0" w:line="45" w:lineRule="exact"/>
        <w:rPr>
          <w:sz w:val="20"/>
          <w:szCs w:val="20"/>
          <w:color w:val="auto"/>
        </w:rPr>
      </w:pPr>
    </w:p>
    <w:p>
      <w:pPr>
        <w:ind w:left="140" w:right="399"/>
        <w:spacing w:after="0" w:line="278" w:lineRule="auto"/>
        <w:rPr>
          <w:sz w:val="20"/>
          <w:szCs w:val="20"/>
          <w:color w:val="auto"/>
        </w:rPr>
      </w:pPr>
      <w:r>
        <w:rPr>
          <w:rFonts w:ascii="Arial" w:cs="Arial" w:eastAsia="Arial" w:hAnsi="Arial"/>
          <w:sz w:val="16"/>
          <w:szCs w:val="16"/>
          <w:color w:val="auto"/>
        </w:rPr>
        <w:t>The performance vesting element is based on pre-determined three-year targets for two performance goals: annual Adjusted Revenue Growth and annual Adjusted EPS Growth, with each goal weighted equally. Each performance goal is measured using a constant growth rate approach, with three annual targets established at the beginning of the three-year performance period — each expressed as a growth rate over the prior year’s actual results (except that if the growth rate for the prior year exceeded the maximum level, growth for the succeeding year is measured from the prior year’s maximum level rather than actual results). Performance for each year is tracked and “banked,” and at the end of the three-year period, the final payout will be the average of the three annual achievements. The threshold, target, and maximum growth levels in the PSU awards were set to align with the Company's long-term plan at the time the targets were set. Additionally, annual growth rate targets were set to reflect and reward consistent, sustained improvement, and include a level of “stretch” performance designed to motivate our NEOs to deliver strong performance while operating within the Company’s established risk framework.</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63</w:t>
      </w:r>
    </w:p>
    <w:p>
      <w:pPr>
        <w:sectPr>
          <w:pgSz w:w="11900" w:h="16838" w:orient="portrait"/>
          <w:cols w:equalWidth="0" w:num="1">
            <w:col w:w="9019"/>
          </w:cols>
          <w:pgMar w:left="1440" w:top="657" w:right="1440" w:bottom="1440" w:gutter="0" w:footer="0" w:header="0"/>
          <w:type w:val="continuous"/>
        </w:sectPr>
      </w:pPr>
    </w:p>
    <w:bookmarkStart w:id="66" w:name="page67"/>
    <w:bookmarkEnd w:id="66"/>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15" w:lineRule="exact"/>
        <w:rPr>
          <w:sz w:val="20"/>
          <w:szCs w:val="20"/>
          <w:color w:val="auto"/>
        </w:rPr>
      </w:pPr>
    </w:p>
    <w:p>
      <w:pPr>
        <w:jc w:val="both"/>
        <w:ind w:left="140" w:right="299"/>
        <w:spacing w:after="0" w:line="292" w:lineRule="auto"/>
        <w:rPr>
          <w:sz w:val="20"/>
          <w:szCs w:val="20"/>
          <w:color w:val="auto"/>
        </w:rPr>
      </w:pPr>
      <w:r>
        <w:rPr>
          <w:rFonts w:ascii="Arial" w:cs="Arial" w:eastAsia="Arial" w:hAnsi="Arial"/>
          <w:sz w:val="16"/>
          <w:szCs w:val="16"/>
          <w:color w:val="auto"/>
        </w:rPr>
        <w:t>Each year, under the performance vesting element, one-third of the PSUs may be earned between 0% and 200% of the target grant amount. Shares earned remain subject to a service-based cliff vesting requirement, which will be satisfied in February 2028 for the 2025 PSUs and February 2027 for the 2024 PSUs.</w:t>
      </w:r>
    </w:p>
    <w:p>
      <w:pPr>
        <w:spacing w:after="0" w:line="44" w:lineRule="exact"/>
        <w:rPr>
          <w:sz w:val="20"/>
          <w:szCs w:val="20"/>
          <w:color w:val="auto"/>
        </w:rPr>
      </w:pPr>
    </w:p>
    <w:p>
      <w:pPr>
        <w:ind w:left="140" w:right="139"/>
        <w:spacing w:after="0" w:line="280" w:lineRule="auto"/>
        <w:rPr>
          <w:sz w:val="20"/>
          <w:szCs w:val="20"/>
          <w:color w:val="auto"/>
        </w:rPr>
      </w:pPr>
      <w:r>
        <w:rPr>
          <w:rFonts w:ascii="Arial" w:cs="Arial" w:eastAsia="Arial" w:hAnsi="Arial"/>
          <w:sz w:val="16"/>
          <w:szCs w:val="16"/>
          <w:color w:val="auto"/>
        </w:rPr>
        <w:t>The 2025 PSUs awarded to all of the NEOs and the 2024 PSUs awarded to Ms. Ferris and Mr. Kehoe also include a relative TSR modifier that may reduce or increase the payout determined by Adjusted Revenue Growth and Adjusted EPS Growth performance by 25% based on our cumulative TSR performance relative to the S&amp;P 500 Index over the three-year performance period. This feature further reinforces alignment with shareholder interests by directly linking payout outcomes to the Company’s performance relative to the S&amp;P 500 Index over the full three-year performance period. This metric was selected to support strong alignment with the shareholder experience and long-term value creation and in consideration of the broader mix of performance metrics within the Company’s executive compensation program. The Compensation Committee believes this structure appropriately balances goal-setting discipline, shareholder alignment, and motivational effectiveness, especially in a dynamic business environment. It will continue to assess the PSU structure annually to assess whether it remains aligned with the Company’s pay-for-performance philosophy.</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4380" w:type="dxa"/>
            <w:vAlign w:val="bottom"/>
            <w:tcBorders>
              <w:bottom w:val="single" w:sz="8" w:color="431C5B"/>
            </w:tcBorders>
            <w:gridSpan w:val="3"/>
          </w:tcPr>
          <w:p>
            <w:pPr>
              <w:jc w:val="right"/>
              <w:ind w:right="564"/>
              <w:spacing w:after="0"/>
              <w:rPr>
                <w:sz w:val="20"/>
                <w:szCs w:val="20"/>
                <w:color w:val="auto"/>
              </w:rPr>
            </w:pPr>
            <w:r>
              <w:rPr>
                <w:rFonts w:ascii="Arial" w:cs="Arial" w:eastAsia="Arial" w:hAnsi="Arial"/>
                <w:sz w:val="14"/>
                <w:szCs w:val="14"/>
                <w:b w:val="1"/>
                <w:bCs w:val="1"/>
                <w:color w:val="431C5B"/>
              </w:rPr>
              <w:t>TSR percentile rank relative to S&amp;P 500 Index</w:t>
            </w:r>
          </w:p>
        </w:tc>
      </w:tr>
      <w:tr>
        <w:trPr>
          <w:trHeight w:val="187"/>
        </w:trPr>
        <w:tc>
          <w:tcPr>
            <w:tcW w:w="4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60" w:type="dxa"/>
            <w:vAlign w:val="bottom"/>
          </w:tcPr>
          <w:p>
            <w:pPr>
              <w:jc w:val="right"/>
              <w:ind w:right="65"/>
              <w:spacing w:after="0"/>
              <w:rPr>
                <w:sz w:val="20"/>
                <w:szCs w:val="20"/>
                <w:color w:val="auto"/>
              </w:rPr>
            </w:pPr>
            <w:r>
              <w:rPr>
                <w:rFonts w:ascii="Arial" w:cs="Arial" w:eastAsia="Arial" w:hAnsi="Arial"/>
                <w:sz w:val="14"/>
                <w:szCs w:val="14"/>
                <w:b w:val="1"/>
                <w:bCs w:val="1"/>
                <w:color w:val="431C5B"/>
              </w:rPr>
              <w:t>≥ 25th percentile to</w:t>
            </w:r>
          </w:p>
        </w:tc>
        <w:tc>
          <w:tcPr>
            <w:tcW w:w="1320" w:type="dxa"/>
            <w:vAlign w:val="bottom"/>
          </w:tcPr>
          <w:p>
            <w:pPr>
              <w:spacing w:after="0"/>
              <w:rPr>
                <w:sz w:val="16"/>
                <w:szCs w:val="16"/>
                <w:color w:val="auto"/>
              </w:rPr>
            </w:pPr>
          </w:p>
        </w:tc>
      </w:tr>
      <w:tr>
        <w:trPr>
          <w:trHeight w:val="185"/>
        </w:trPr>
        <w:tc>
          <w:tcPr>
            <w:tcW w:w="4380" w:type="dxa"/>
            <w:vAlign w:val="bottom"/>
            <w:tcBorders>
              <w:bottom w:val="single" w:sz="8" w:color="431C5B"/>
            </w:tcBorders>
          </w:tcPr>
          <w:p>
            <w:pPr>
              <w:spacing w:after="0"/>
              <w:rPr>
                <w:sz w:val="16"/>
                <w:szCs w:val="16"/>
                <w:color w:val="auto"/>
              </w:rPr>
            </w:pPr>
          </w:p>
        </w:tc>
        <w:tc>
          <w:tcPr>
            <w:tcW w:w="1400" w:type="dxa"/>
            <w:vAlign w:val="bottom"/>
            <w:tcBorders>
              <w:bottom w:val="single" w:sz="8" w:color="431C5B"/>
            </w:tcBorders>
          </w:tcPr>
          <w:p>
            <w:pPr>
              <w:jc w:val="right"/>
              <w:ind w:right="125"/>
              <w:spacing w:after="0"/>
              <w:rPr>
                <w:sz w:val="20"/>
                <w:szCs w:val="20"/>
                <w:color w:val="auto"/>
              </w:rPr>
            </w:pPr>
            <w:r>
              <w:rPr>
                <w:rFonts w:ascii="Arial" w:cs="Arial" w:eastAsia="Arial" w:hAnsi="Arial"/>
                <w:sz w:val="14"/>
                <w:szCs w:val="14"/>
                <w:b w:val="1"/>
                <w:bCs w:val="1"/>
                <w:color w:val="431C5B"/>
              </w:rPr>
              <w:t>&lt; 25th percentile</w:t>
            </w:r>
          </w:p>
        </w:tc>
        <w:tc>
          <w:tcPr>
            <w:tcW w:w="1660" w:type="dxa"/>
            <w:vAlign w:val="bottom"/>
            <w:tcBorders>
              <w:bottom w:val="single" w:sz="8" w:color="431C5B"/>
            </w:tcBorders>
          </w:tcPr>
          <w:p>
            <w:pPr>
              <w:jc w:val="right"/>
              <w:ind w:right="65"/>
              <w:spacing w:after="0"/>
              <w:rPr>
                <w:sz w:val="20"/>
                <w:szCs w:val="20"/>
                <w:color w:val="auto"/>
              </w:rPr>
            </w:pPr>
            <w:r>
              <w:rPr>
                <w:rFonts w:ascii="Arial" w:cs="Arial" w:eastAsia="Arial" w:hAnsi="Arial"/>
                <w:sz w:val="14"/>
                <w:szCs w:val="14"/>
                <w:b w:val="1"/>
                <w:bCs w:val="1"/>
                <w:color w:val="431C5B"/>
              </w:rPr>
              <w:t>&lt; 75th percentile</w:t>
            </w:r>
          </w:p>
        </w:tc>
        <w:tc>
          <w:tcPr>
            <w:tcW w:w="132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 75th percentile</w:t>
            </w:r>
          </w:p>
        </w:tc>
      </w:tr>
      <w:tr>
        <w:trPr>
          <w:trHeight w:val="237"/>
        </w:trPr>
        <w:tc>
          <w:tcPr>
            <w:tcW w:w="438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color w:val="auto"/>
              </w:rPr>
              <w:t>Modifier:</w:t>
            </w:r>
          </w:p>
        </w:tc>
        <w:tc>
          <w:tcPr>
            <w:tcW w:w="1400" w:type="dxa"/>
            <w:vAlign w:val="bottom"/>
            <w:tcBorders>
              <w:bottom w:val="single" w:sz="8" w:color="431C5B"/>
            </w:tcBorders>
            <w:shd w:val="clear" w:color="auto" w:fill="EEFAEC"/>
          </w:tcPr>
          <w:p>
            <w:pPr>
              <w:jc w:val="right"/>
              <w:ind w:right="125"/>
              <w:spacing w:after="0"/>
              <w:rPr>
                <w:sz w:val="20"/>
                <w:szCs w:val="20"/>
                <w:color w:val="auto"/>
              </w:rPr>
            </w:pPr>
            <w:r>
              <w:rPr>
                <w:rFonts w:ascii="Arial" w:cs="Arial" w:eastAsia="Arial" w:hAnsi="Arial"/>
                <w:sz w:val="16"/>
                <w:szCs w:val="16"/>
                <w:color w:val="auto"/>
              </w:rPr>
              <w:t>– 25%</w:t>
            </w:r>
          </w:p>
        </w:tc>
        <w:tc>
          <w:tcPr>
            <w:tcW w:w="1660" w:type="dxa"/>
            <w:vAlign w:val="bottom"/>
            <w:tcBorders>
              <w:bottom w:val="single" w:sz="8" w:color="431C5B"/>
            </w:tcBorders>
            <w:shd w:val="clear" w:color="auto" w:fill="EEFAEC"/>
          </w:tcPr>
          <w:p>
            <w:pPr>
              <w:jc w:val="right"/>
              <w:ind w:right="65"/>
              <w:spacing w:after="0"/>
              <w:rPr>
                <w:sz w:val="20"/>
                <w:szCs w:val="20"/>
                <w:color w:val="auto"/>
              </w:rPr>
            </w:pPr>
            <w:r>
              <w:rPr>
                <w:rFonts w:ascii="Arial" w:cs="Arial" w:eastAsia="Arial" w:hAnsi="Arial"/>
                <w:sz w:val="16"/>
                <w:szCs w:val="16"/>
                <w:color w:val="auto"/>
              </w:rPr>
              <w:t>No Change</w:t>
            </w:r>
          </w:p>
        </w:tc>
        <w:tc>
          <w:tcPr>
            <w:tcW w:w="132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+ 25%</w:t>
            </w:r>
          </w:p>
        </w:tc>
      </w:tr>
    </w:tbl>
    <w:p>
      <w:pPr>
        <w:spacing w:after="0" w:line="202" w:lineRule="exact"/>
        <w:rPr>
          <w:sz w:val="20"/>
          <w:szCs w:val="20"/>
          <w:color w:val="auto"/>
        </w:rPr>
      </w:pPr>
    </w:p>
    <w:p>
      <w:pPr>
        <w:ind w:left="140" w:right="159"/>
        <w:spacing w:after="0" w:line="279" w:lineRule="auto"/>
        <w:rPr>
          <w:sz w:val="20"/>
          <w:szCs w:val="20"/>
          <w:color w:val="auto"/>
        </w:rPr>
      </w:pPr>
      <w:r>
        <w:rPr>
          <w:rFonts w:ascii="Arial" w:cs="Arial" w:eastAsia="Arial" w:hAnsi="Arial"/>
          <w:sz w:val="16"/>
          <w:szCs w:val="16"/>
          <w:color w:val="auto"/>
        </w:rPr>
        <w:t>We recognize that revenue and EPS are used for both the 2025 annual cash incentive program and the 2025 PSUs. However, the Compensation Committee continued its historical practice of incorporating additional performance measures in order to strike an appropriate balance with respect to incentivizing top-line growth, profitability, non-financial business imperatives and shareholder returns over both the short-term and long-term horizons. In addition, although the PSUs measure the rate of Adjusted Revenue Growth and Adjusted EPS Growth annually, the target growth rate for each year was set in advance, at the time of grant, providing an additional area of divergence from the annual cash incentive program. The Compensation Committee believes that together, the annual cash incentive program and the PSUs provide a balanced and effective framework for driving both annual operational performance and sustained long-term growth.</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2026 Compensation Program Changes:</w:t>
      </w:r>
    </w:p>
    <w:p>
      <w:pPr>
        <w:spacing w:after="0" w:line="86" w:lineRule="exact"/>
        <w:rPr>
          <w:sz w:val="20"/>
          <w:szCs w:val="20"/>
          <w:color w:val="auto"/>
        </w:rPr>
      </w:pPr>
    </w:p>
    <w:p>
      <w:pPr>
        <w:ind w:left="140" w:right="219"/>
        <w:spacing w:after="0" w:line="282" w:lineRule="auto"/>
        <w:rPr>
          <w:sz w:val="20"/>
          <w:szCs w:val="20"/>
          <w:color w:val="auto"/>
        </w:rPr>
      </w:pPr>
      <w:r>
        <w:rPr>
          <w:rFonts w:ascii="Arial" w:cs="Arial" w:eastAsia="Arial" w:hAnsi="Arial"/>
          <w:sz w:val="16"/>
          <w:szCs w:val="16"/>
          <w:color w:val="auto"/>
        </w:rPr>
        <w:t>In 2026, the Compensation Committee reduced the extent of overlap between the performance measures used in the annual cash incentive program and the PSUs by (1) shifting rTSR from a modifier to a stand-alone performance measure in the PSUs for the CEO and her direct reports, with a 20% weight and (2) removing EPS as a performance measure in the annual cash incentive program and replacing it with free cash flow, with a 20% weight. The Compensation Committee will continue to assess the performance measures in the annual cash incentive program and PSUs based on what it believes will best incentivize management to promote the long-term success of the Company.</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Terms: PSU grants made in 2023</w:t>
      </w:r>
    </w:p>
    <w:p>
      <w:pPr>
        <w:spacing w:after="0" w:line="86" w:lineRule="exact"/>
        <w:rPr>
          <w:sz w:val="20"/>
          <w:szCs w:val="20"/>
          <w:color w:val="auto"/>
        </w:rPr>
      </w:pPr>
    </w:p>
    <w:p>
      <w:pPr>
        <w:ind w:left="140" w:right="259"/>
        <w:spacing w:after="0" w:line="279" w:lineRule="auto"/>
        <w:rPr>
          <w:sz w:val="20"/>
          <w:szCs w:val="20"/>
          <w:color w:val="auto"/>
        </w:rPr>
      </w:pPr>
      <w:r>
        <w:rPr>
          <w:rFonts w:ascii="Arial" w:cs="Arial" w:eastAsia="Arial" w:hAnsi="Arial"/>
          <w:sz w:val="16"/>
          <w:szCs w:val="16"/>
          <w:color w:val="auto"/>
        </w:rPr>
        <w:t>For PSU grants made in 2023, the performance vesting element is based 100% on TSR performance relative to the S&amp;P 500 Index using a three-year cumulative performance period. This metric was selected to support strong alignment with the shareholder experience and long-term value creation, particularly in the first year of FIS’ transformation, and in consideration of the broader mix of performance metrics within the Company’s executive compensation program. The performance vesting target goal was 100% for TSR performance at the 55th percentile, with a threshold of 50% for TSR performance at the 30th percentile and a maximum of 200% for TSR performance at the 90th or greater percentile. If absolute TSR for the three-year period was negative, the vesting level would be capped at target.</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Terms: Restricted Stock Units</w:t>
      </w:r>
    </w:p>
    <w:p>
      <w:pPr>
        <w:spacing w:after="0" w:line="73" w:lineRule="exact"/>
        <w:rPr>
          <w:sz w:val="20"/>
          <w:szCs w:val="20"/>
          <w:color w:val="auto"/>
        </w:rPr>
      </w:pPr>
    </w:p>
    <w:p>
      <w:pPr>
        <w:jc w:val="both"/>
        <w:ind w:left="140" w:right="219"/>
        <w:spacing w:after="0" w:line="321" w:lineRule="auto"/>
        <w:rPr>
          <w:sz w:val="20"/>
          <w:szCs w:val="20"/>
          <w:color w:val="auto"/>
        </w:rPr>
      </w:pPr>
      <w:r>
        <w:rPr>
          <w:rFonts w:ascii="Arial" w:cs="Arial" w:eastAsia="Arial" w:hAnsi="Arial"/>
          <w:sz w:val="16"/>
          <w:szCs w:val="16"/>
          <w:color w:val="auto"/>
        </w:rPr>
        <w:t>The RSUs are subject to a service-based vesting requirement, whereby each grant vests on an annual ratable basis over a three-year period on the anniversary date of the grant. Dividends are not paid on RSUs unless and until the RSUs vest.</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 w:hanging="429"/>
        <w:spacing w:after="0"/>
        <w:tabs>
          <w:tab w:leader="none" w:pos="620" w:val="left"/>
        </w:tabs>
        <w:numPr>
          <w:ilvl w:val="0"/>
          <w:numId w:val="91"/>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67" w:name="page68"/>
    <w:bookmarkEnd w:id="67"/>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431C5B"/>
        </w:rPr>
        <w:t>2025 Performance – First Year of 2025 PSUs and Second Year of 2024 PSUs</w:t>
      </w:r>
    </w:p>
    <w:p>
      <w:pPr>
        <w:spacing w:after="0" w:line="90" w:lineRule="exact"/>
        <w:rPr>
          <w:sz w:val="20"/>
          <w:szCs w:val="20"/>
          <w:color w:val="auto"/>
        </w:rPr>
      </w:pPr>
    </w:p>
    <w:p>
      <w:pPr>
        <w:ind w:left="140" w:right="279"/>
        <w:spacing w:after="0" w:line="282" w:lineRule="auto"/>
        <w:rPr>
          <w:sz w:val="20"/>
          <w:szCs w:val="20"/>
          <w:color w:val="auto"/>
        </w:rPr>
      </w:pPr>
      <w:r>
        <w:rPr>
          <w:rFonts w:ascii="Arial" w:cs="Arial" w:eastAsia="Arial" w:hAnsi="Arial"/>
          <w:sz w:val="16"/>
          <w:szCs w:val="16"/>
          <w:color w:val="auto"/>
        </w:rPr>
        <w:t>As noted above, Adjusted Revenue Growth and Adjusted EPS Growth are the primary metrics that determine the payout level for the 2025 and 2024 PSUs, with the formulaic payout level being multiplied by a specified percentage determined based on our relative TSR to increase or decrease that payout in some cases. In the following table, we explain how we calculated the Adjusted Revenue Growth and Adjusted EPS Growth metrics used in the 2025 and 2024 PSUs and why we use them.</w:t>
      </w:r>
    </w:p>
    <w:p>
      <w:pPr>
        <w:spacing w:after="0" w:line="258" w:lineRule="exact"/>
        <w:rPr>
          <w:sz w:val="20"/>
          <w:szCs w:val="20"/>
          <w:color w:val="auto"/>
        </w:rPr>
      </w:pPr>
    </w:p>
    <w:p>
      <w:pPr>
        <w:ind w:left="200"/>
        <w:spacing w:after="0"/>
        <w:tabs>
          <w:tab w:leader="none" w:pos="2000" w:val="left"/>
          <w:tab w:leader="none" w:pos="6160" w:val="left"/>
        </w:tabs>
        <w:rPr>
          <w:sz w:val="20"/>
          <w:szCs w:val="20"/>
          <w:color w:val="auto"/>
        </w:rPr>
      </w:pPr>
      <w:r>
        <w:rPr>
          <w:rFonts w:ascii="Arial" w:cs="Arial" w:eastAsia="Arial" w:hAnsi="Arial"/>
          <w:sz w:val="14"/>
          <w:szCs w:val="14"/>
          <w:b w:val="1"/>
          <w:bCs w:val="1"/>
          <w:color w:val="431C5B"/>
        </w:rPr>
        <w:t>Performance measure</w:t>
      </w:r>
      <w:r>
        <w:rPr>
          <w:rFonts w:ascii="Arial" w:cs="Arial" w:eastAsia="Arial" w:hAnsi="Arial"/>
          <w:sz w:val="18"/>
          <w:szCs w:val="18"/>
          <w:b w:val="1"/>
          <w:bCs w:val="1"/>
          <w:color w:val="431C5B"/>
          <w:vertAlign w:val="superscript"/>
        </w:rPr>
        <w:t>(1)</w:t>
      </w:r>
      <w:r>
        <w:rPr>
          <w:rFonts w:ascii="Arial" w:cs="Arial" w:eastAsia="Arial" w:hAnsi="Arial"/>
          <w:sz w:val="14"/>
          <w:szCs w:val="14"/>
          <w:b w:val="1"/>
          <w:bCs w:val="1"/>
          <w:color w:val="431C5B"/>
        </w:rPr>
        <w:tab/>
        <w:t>How calculated</w:t>
      </w:r>
      <w:r>
        <w:rPr>
          <w:sz w:val="20"/>
          <w:szCs w:val="20"/>
          <w:color w:val="auto"/>
        </w:rPr>
        <w:tab/>
      </w:r>
      <w:r>
        <w:rPr>
          <w:rFonts w:ascii="Arial" w:cs="Arial" w:eastAsia="Arial" w:hAnsi="Arial"/>
          <w:sz w:val="14"/>
          <w:szCs w:val="14"/>
          <w:b w:val="1"/>
          <w:bCs w:val="1"/>
          <w:color w:val="431C5B"/>
        </w:rPr>
        <w:t>Reason for use</w:t>
      </w:r>
    </w:p>
    <w:p>
      <w:pPr>
        <w:sectPr>
          <w:pgSz w:w="11900" w:h="16838" w:orient="portrait"/>
          <w:cols w:equalWidth="0" w:num="1">
            <w:col w:w="9019"/>
          </w:cols>
          <w:pgMar w:left="1440" w:top="657" w:right="1440" w:bottom="1440" w:gutter="0" w:footer="0" w:header="0"/>
        </w:sectPr>
      </w:pPr>
    </w:p>
    <w:p>
      <w:pPr>
        <w:spacing w:after="0" w:line="61" w:lineRule="exact"/>
        <w:rPr>
          <w:sz w:val="20"/>
          <w:szCs w:val="20"/>
          <w:color w:val="auto"/>
        </w:rPr>
      </w:pPr>
    </w:p>
    <w:p>
      <w:pPr>
        <w:ind w:left="200"/>
        <w:spacing w:after="0"/>
        <w:tabs>
          <w:tab w:leader="none" w:pos="2000" w:val="left"/>
        </w:tabs>
        <w:rPr>
          <w:sz w:val="20"/>
          <w:szCs w:val="20"/>
          <w:color w:val="auto"/>
        </w:rPr>
      </w:pPr>
      <w:r>
        <w:rPr>
          <w:rFonts w:ascii="Arial" w:cs="Arial" w:eastAsia="Arial" w:hAnsi="Arial"/>
          <w:sz w:val="16"/>
          <w:szCs w:val="16"/>
          <w:b w:val="1"/>
          <w:bCs w:val="1"/>
          <w:color w:val="auto"/>
        </w:rPr>
        <w:t>Adjusted Revenue</w:t>
      </w:r>
      <w:r>
        <w:rPr>
          <w:sz w:val="20"/>
          <w:szCs w:val="20"/>
          <w:color w:val="auto"/>
        </w:rPr>
        <w:tab/>
      </w:r>
      <w:r>
        <w:rPr>
          <w:rFonts w:ascii="Arial" w:cs="Arial" w:eastAsia="Arial" w:hAnsi="Arial"/>
          <w:sz w:val="16"/>
          <w:szCs w:val="16"/>
          <w:color w:val="auto"/>
        </w:rPr>
        <w:t>The year-over-year percentage increase of GAAP</w:t>
      </w:r>
    </w:p>
    <w:p>
      <w:pPr>
        <w:spacing w:after="0" w:line="35" w:lineRule="exact"/>
        <w:rPr>
          <w:sz w:val="20"/>
          <w:szCs w:val="20"/>
          <w:color w:val="auto"/>
        </w:rPr>
      </w:pPr>
    </w:p>
    <w:p>
      <w:pPr>
        <w:ind w:left="2020" w:hanging="1835"/>
        <w:spacing w:after="0" w:line="278" w:lineRule="auto"/>
        <w:tabs>
          <w:tab w:leader="none" w:pos="2000" w:val="left"/>
        </w:tabs>
        <w:rPr>
          <w:sz w:val="20"/>
          <w:szCs w:val="20"/>
          <w:color w:val="auto"/>
        </w:rPr>
      </w:pPr>
      <w:r>
        <w:rPr>
          <w:rFonts w:ascii="Arial" w:cs="Arial" w:eastAsia="Arial" w:hAnsi="Arial"/>
          <w:sz w:val="16"/>
          <w:szCs w:val="16"/>
          <w:b w:val="1"/>
          <w:bCs w:val="1"/>
          <w:color w:val="auto"/>
        </w:rPr>
        <w:t>Growth Metric</w:t>
      </w:r>
      <w:r>
        <w:rPr>
          <w:sz w:val="20"/>
          <w:szCs w:val="20"/>
          <w:color w:val="auto"/>
        </w:rPr>
        <w:tab/>
      </w:r>
      <w:r>
        <w:rPr>
          <w:rFonts w:ascii="Arial" w:cs="Arial" w:eastAsia="Arial" w:hAnsi="Arial"/>
          <w:sz w:val="16"/>
          <w:szCs w:val="16"/>
          <w:color w:val="auto"/>
        </w:rPr>
        <w:t>Revenue as reported in the Company’s Annual Report on Form 10-K, adjusted to eliminate the effects from fluctuations in foreign currency exchange rates by applying prior-period foreign currency exchange rates to current-period revenue and to exclude revenue from our Corporate and Other Segment.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259"/>
        <w:spacing w:after="0" w:line="282" w:lineRule="auto"/>
        <w:rPr>
          <w:sz w:val="20"/>
          <w:szCs w:val="20"/>
          <w:color w:val="auto"/>
        </w:rPr>
      </w:pPr>
      <w:r>
        <w:rPr>
          <w:rFonts w:ascii="Arial" w:cs="Arial" w:eastAsia="Arial" w:hAnsi="Arial"/>
          <w:sz w:val="16"/>
          <w:szCs w:val="16"/>
          <w:color w:val="auto"/>
        </w:rPr>
        <w:t>Adjusted Revenue Growth is a key metric that measures how the Company is executing in growing its current business and generating new business.</w:t>
      </w:r>
    </w:p>
    <w:p>
      <w:pPr>
        <w:spacing w:after="0" w:line="539" w:lineRule="exact"/>
        <w:rPr>
          <w:sz w:val="20"/>
          <w:szCs w:val="20"/>
          <w:color w:val="auto"/>
        </w:rPr>
      </w:pPr>
    </w:p>
    <w:p>
      <w:pPr>
        <w:sectPr>
          <w:pgSz w:w="11900" w:h="16838" w:orient="portrait"/>
          <w:cols w:equalWidth="0" w:num="2">
            <w:col w:w="5940" w:space="240"/>
            <w:col w:w="2839"/>
          </w:cols>
          <w:pgMar w:left="1440" w:top="657" w:right="1440" w:bottom="1440" w:gutter="0" w:footer="0" w:header="0"/>
          <w:type w:val="continuous"/>
        </w:sectPr>
      </w:pPr>
    </w:p>
    <w:p>
      <w:pPr>
        <w:ind w:left="200"/>
        <w:spacing w:after="0"/>
        <w:tabs>
          <w:tab w:leader="none" w:pos="2000" w:val="left"/>
        </w:tabs>
        <w:rPr>
          <w:sz w:val="20"/>
          <w:szCs w:val="20"/>
          <w:color w:val="auto"/>
        </w:rPr>
      </w:pPr>
      <w:r>
        <w:rPr>
          <w:rFonts w:ascii="Arial" w:cs="Arial" w:eastAsia="Arial" w:hAnsi="Arial"/>
          <w:sz w:val="16"/>
          <w:szCs w:val="16"/>
          <w:b w:val="1"/>
          <w:bCs w:val="1"/>
          <w:color w:val="auto"/>
        </w:rPr>
        <w:t>Adjusted EPS</w:t>
      </w:r>
      <w:r>
        <w:rPr>
          <w:sz w:val="20"/>
          <w:szCs w:val="20"/>
          <w:color w:val="auto"/>
        </w:rPr>
        <w:tab/>
      </w:r>
      <w:r>
        <w:rPr>
          <w:rFonts w:ascii="Arial" w:cs="Arial" w:eastAsia="Arial" w:hAnsi="Arial"/>
          <w:sz w:val="16"/>
          <w:szCs w:val="16"/>
          <w:color w:val="auto"/>
        </w:rPr>
        <w:t>The year-over-year percentage increase of Adjusted</w:t>
      </w:r>
    </w:p>
    <w:p>
      <w:pPr>
        <w:spacing w:after="0" w:line="35" w:lineRule="exact"/>
        <w:rPr>
          <w:sz w:val="20"/>
          <w:szCs w:val="20"/>
          <w:color w:val="auto"/>
        </w:rPr>
      </w:pPr>
    </w:p>
    <w:p>
      <w:pPr>
        <w:ind w:left="200"/>
        <w:spacing w:after="0"/>
        <w:tabs>
          <w:tab w:leader="none" w:pos="2000" w:val="left"/>
        </w:tabs>
        <w:rPr>
          <w:sz w:val="20"/>
          <w:szCs w:val="20"/>
          <w:color w:val="auto"/>
        </w:rPr>
      </w:pPr>
      <w:r>
        <w:rPr>
          <w:rFonts w:ascii="Arial" w:cs="Arial" w:eastAsia="Arial" w:hAnsi="Arial"/>
          <w:sz w:val="16"/>
          <w:szCs w:val="16"/>
          <w:b w:val="1"/>
          <w:bCs w:val="1"/>
          <w:color w:val="auto"/>
        </w:rPr>
        <w:t>Growth Metric</w:t>
      </w:r>
      <w:r>
        <w:rPr>
          <w:sz w:val="20"/>
          <w:szCs w:val="20"/>
          <w:color w:val="auto"/>
        </w:rPr>
        <w:tab/>
      </w:r>
      <w:r>
        <w:rPr>
          <w:rFonts w:ascii="Arial" w:cs="Arial" w:eastAsia="Arial" w:hAnsi="Arial"/>
          <w:sz w:val="16"/>
          <w:szCs w:val="16"/>
          <w:color w:val="auto"/>
        </w:rPr>
        <w:t>Net Earnings per share (EPS) from continuing</w:t>
      </w:r>
    </w:p>
    <w:p>
      <w:pPr>
        <w:spacing w:after="0" w:line="23" w:lineRule="exact"/>
        <w:rPr>
          <w:sz w:val="20"/>
          <w:szCs w:val="20"/>
          <w:color w:val="auto"/>
        </w:rPr>
      </w:pPr>
    </w:p>
    <w:p>
      <w:pPr>
        <w:ind w:left="2020" w:right="40"/>
        <w:spacing w:after="0" w:line="268" w:lineRule="auto"/>
        <w:rPr>
          <w:sz w:val="20"/>
          <w:szCs w:val="20"/>
          <w:color w:val="auto"/>
        </w:rPr>
      </w:pPr>
      <w:r>
        <w:rPr>
          <w:rFonts w:ascii="Arial" w:cs="Arial" w:eastAsia="Arial" w:hAnsi="Arial"/>
          <w:sz w:val="16"/>
          <w:szCs w:val="16"/>
          <w:color w:val="auto"/>
        </w:rPr>
        <w:t>operations, as reported in the Company’s quarterly earnings. Adjusted Net Earnings excludes the effect of</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purchase price amortization, as well as certain costs</w:t>
      </w:r>
    </w:p>
    <w:p>
      <w:pPr>
        <w:spacing w:after="0" w:line="32"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that do not constitute normal, recurring, cash operating</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expenses necessary to operate our business. Adjusted</w:t>
      </w:r>
    </w:p>
    <w:p>
      <w:pPr>
        <w:spacing w:after="0" w:line="20"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EPS reflects Adjusted Net Earnings, as defined above,</w:t>
      </w:r>
    </w:p>
    <w:p>
      <w:pPr>
        <w:spacing w:after="0" w:line="31"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divided by weighted average diluted</w:t>
      </w:r>
    </w:p>
    <w:p>
      <w:pPr>
        <w:spacing w:after="0" w:line="20"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shares outstanding.</w:t>
      </w:r>
    </w:p>
    <w:p>
      <w:pPr>
        <w:spacing w:after="0" w:line="20" w:lineRule="exact"/>
        <w:rPr>
          <w:sz w:val="20"/>
          <w:szCs w:val="20"/>
          <w:color w:val="auto"/>
        </w:rPr>
      </w:pPr>
      <w:r>
        <w:rPr>
          <w:sz w:val="20"/>
          <w:szCs w:val="20"/>
          <w:color w:val="auto"/>
        </w:rPr>
        <w:br w:type="column"/>
      </w:r>
    </w:p>
    <w:p>
      <w:pPr>
        <w:ind w:right="219"/>
        <w:spacing w:after="0" w:line="279" w:lineRule="auto"/>
        <w:rPr>
          <w:sz w:val="20"/>
          <w:szCs w:val="20"/>
          <w:color w:val="auto"/>
        </w:rPr>
      </w:pPr>
      <w:r>
        <w:rPr>
          <w:rFonts w:ascii="Arial" w:cs="Arial" w:eastAsia="Arial" w:hAnsi="Arial"/>
          <w:sz w:val="16"/>
          <w:szCs w:val="16"/>
          <w:color w:val="auto"/>
        </w:rPr>
        <w:t>Adjusted EPS Growth is the key profit metric that measures how the Company is executing across all business drivers, including revenue growth, margin expansion and below the line items. It is one of the key measures used by investors to value companies.</w:t>
      </w:r>
    </w:p>
    <w:p>
      <w:pPr>
        <w:spacing w:after="0" w:line="562" w:lineRule="exact"/>
        <w:rPr>
          <w:sz w:val="20"/>
          <w:szCs w:val="20"/>
          <w:color w:val="auto"/>
        </w:rPr>
      </w:pPr>
    </w:p>
    <w:p>
      <w:pPr>
        <w:sectPr>
          <w:pgSz w:w="11900" w:h="16838" w:orient="portrait"/>
          <w:cols w:equalWidth="0" w:num="2">
            <w:col w:w="5960" w:space="220"/>
            <w:col w:w="2839"/>
          </w:cols>
          <w:pgMar w:left="1440" w:top="657" w:right="1440" w:bottom="1440" w:gutter="0" w:footer="0" w:header="0"/>
          <w:type w:val="continuous"/>
        </w:sectPr>
      </w:pPr>
    </w:p>
    <w:p>
      <w:pPr>
        <w:spacing w:after="0" w:line="71" w:lineRule="exact"/>
        <w:rPr>
          <w:sz w:val="20"/>
          <w:szCs w:val="20"/>
          <w:color w:val="auto"/>
        </w:rPr>
      </w:pPr>
    </w:p>
    <w:p>
      <w:pPr>
        <w:ind w:left="380" w:right="399" w:hanging="250"/>
        <w:spacing w:after="0" w:line="236" w:lineRule="auto"/>
        <w:tabs>
          <w:tab w:leader="none" w:pos="380" w:val="left"/>
        </w:tabs>
        <w:numPr>
          <w:ilvl w:val="0"/>
          <w:numId w:val="92"/>
        </w:numPr>
        <w:rPr>
          <w:rFonts w:ascii="Arial" w:cs="Arial" w:eastAsia="Arial" w:hAnsi="Arial"/>
          <w:sz w:val="16"/>
          <w:szCs w:val="16"/>
          <w:color w:val="auto"/>
          <w:vertAlign w:val="superscript"/>
        </w:rPr>
      </w:pPr>
      <w:r>
        <w:rPr>
          <w:rFonts w:ascii="Arial" w:cs="Arial" w:eastAsia="Arial" w:hAnsi="Arial"/>
          <w:sz w:val="13"/>
          <w:szCs w:val="13"/>
          <w:color w:val="auto"/>
        </w:rPr>
        <w:t>In accordance with the terms of our equity plan, criteria may be further adjusted for unusual or non-recurring items as well as other corporate events impacting the Company.</w:t>
      </w:r>
    </w:p>
    <w:p>
      <w:pPr>
        <w:spacing w:after="0" w:line="162" w:lineRule="exact"/>
        <w:rPr>
          <w:sz w:val="20"/>
          <w:szCs w:val="20"/>
          <w:color w:val="auto"/>
        </w:rPr>
      </w:pPr>
    </w:p>
    <w:p>
      <w:pPr>
        <w:ind w:left="140" w:right="339"/>
        <w:spacing w:after="0" w:line="321" w:lineRule="auto"/>
        <w:rPr>
          <w:sz w:val="20"/>
          <w:szCs w:val="20"/>
          <w:color w:val="auto"/>
        </w:rPr>
      </w:pPr>
      <w:r>
        <w:rPr>
          <w:rFonts w:ascii="Arial" w:cs="Arial" w:eastAsia="Arial" w:hAnsi="Arial"/>
          <w:sz w:val="16"/>
          <w:szCs w:val="16"/>
          <w:color w:val="auto"/>
        </w:rPr>
        <w:t>The following graphs set forth the performance grids established in January 2025 applicable to the first year of the 2025 PSUs and in January 2024 applicable to the second year of the 2024 PSUs, as well as actual performance for 2025.</w:t>
      </w:r>
    </w:p>
    <w:p>
      <w:pPr>
        <w:spacing w:after="0" w:line="88" w:lineRule="exact"/>
        <w:rPr>
          <w:sz w:val="20"/>
          <w:szCs w:val="20"/>
          <w:color w:val="auto"/>
        </w:rPr>
      </w:pPr>
    </w:p>
    <w:p>
      <w:pPr>
        <w:ind w:left="140" w:right="279"/>
        <w:spacing w:after="0" w:line="321" w:lineRule="auto"/>
        <w:rPr>
          <w:sz w:val="20"/>
          <w:szCs w:val="20"/>
          <w:color w:val="auto"/>
        </w:rPr>
      </w:pPr>
      <w:r>
        <w:rPr>
          <w:rFonts w:ascii="Arial" w:cs="Arial" w:eastAsia="Arial" w:hAnsi="Arial"/>
          <w:sz w:val="16"/>
          <w:szCs w:val="16"/>
          <w:b w:val="1"/>
          <w:bCs w:val="1"/>
          <w:color w:val="auto"/>
        </w:rPr>
        <w:t xml:space="preserve">2025 PSUs: </w:t>
      </w:r>
      <w:r>
        <w:rPr>
          <w:rFonts w:ascii="Arial" w:cs="Arial" w:eastAsia="Arial" w:hAnsi="Arial"/>
          <w:sz w:val="16"/>
          <w:szCs w:val="16"/>
          <w:color w:val="auto"/>
        </w:rPr>
        <w:t>For the 2025 PSUs, the performance resulted in 117% of the target shares being earned, before application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relative TSR modifier, as further described below.</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31C5B"/>
        </w:rPr>
        <w:t>2025 PSUs - Performance Goals and Results for 2025 Performance Year</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Calculated</w:t>
            </w: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6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Measure</w:t>
            </w:r>
          </w:p>
        </w:tc>
        <w:tc>
          <w:tcPr>
            <w:tcW w:w="6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(Weight x %</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Weight</w:t>
            </w:r>
          </w:p>
        </w:tc>
        <w:tc>
          <w:tcPr>
            <w:tcW w:w="640" w:type="dxa"/>
            <w:vAlign w:val="bottom"/>
          </w:tcPr>
          <w:p>
            <w:pPr>
              <w:spacing w:after="0"/>
              <w:rPr>
                <w:sz w:val="14"/>
                <w:szCs w:val="14"/>
                <w:color w:val="auto"/>
              </w:rPr>
            </w:pPr>
          </w:p>
        </w:tc>
        <w:tc>
          <w:tcPr>
            <w:tcW w:w="59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Performance and Payout Levels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Earned)</w:t>
            </w:r>
          </w:p>
        </w:tc>
        <w:tc>
          <w:tcPr>
            <w:tcW w:w="0" w:type="dxa"/>
            <w:vAlign w:val="bottom"/>
          </w:tcPr>
          <w:p>
            <w:pPr>
              <w:spacing w:after="0"/>
              <w:rPr>
                <w:sz w:val="1"/>
                <w:szCs w:val="1"/>
                <w:color w:val="auto"/>
              </w:rPr>
            </w:pPr>
          </w:p>
        </w:tc>
      </w:tr>
      <w:tr>
        <w:trPr>
          <w:trHeight w:val="416"/>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Revenue</w:t>
            </w:r>
          </w:p>
        </w:tc>
        <w:tc>
          <w:tcPr>
            <w:tcW w:w="6720" w:type="dxa"/>
            <w:vAlign w:val="bottom"/>
            <w:gridSpan w:val="3"/>
          </w:tcPr>
          <w:p>
            <w:pPr>
              <w:jc w:val="center"/>
              <w:ind w:right="6060"/>
              <w:spacing w:after="0"/>
              <w:rPr>
                <w:sz w:val="20"/>
                <w:szCs w:val="20"/>
                <w:color w:val="auto"/>
              </w:rPr>
            </w:pPr>
            <w:r>
              <w:rPr>
                <w:rFonts w:ascii="Arial" w:cs="Arial" w:eastAsia="Arial" w:hAnsi="Arial"/>
                <w:sz w:val="14"/>
                <w:szCs w:val="14"/>
                <w:color w:val="auto"/>
              </w:rPr>
              <w:t>% of</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080" w:type="dxa"/>
            <w:vAlign w:val="bottom"/>
            <w:vMerge w:val="continue"/>
          </w:tcPr>
          <w:p>
            <w:pPr>
              <w:spacing w:after="0"/>
              <w:rPr>
                <w:sz w:val="8"/>
                <w:szCs w:val="8"/>
                <w:color w:val="auto"/>
              </w:rPr>
            </w:pPr>
          </w:p>
        </w:tc>
        <w:tc>
          <w:tcPr>
            <w:tcW w:w="6720" w:type="dxa"/>
            <w:vAlign w:val="bottom"/>
            <w:gridSpan w:val="3"/>
            <w:vMerge w:val="restart"/>
          </w:tcPr>
          <w:p>
            <w:pPr>
              <w:jc w:val="center"/>
              <w:ind w:right="6080"/>
              <w:spacing w:after="0"/>
              <w:rPr>
                <w:sz w:val="20"/>
                <w:szCs w:val="20"/>
                <w:color w:val="auto"/>
              </w:rPr>
            </w:pPr>
            <w:r>
              <w:rPr>
                <w:rFonts w:ascii="Arial" w:cs="Arial" w:eastAsia="Arial" w:hAnsi="Arial"/>
                <w:sz w:val="14"/>
                <w:szCs w:val="14"/>
                <w:color w:val="auto"/>
                <w:w w:val="98"/>
              </w:rPr>
              <w:t>Target</w:t>
            </w: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Growth Metric</w:t>
            </w:r>
          </w:p>
        </w:tc>
        <w:tc>
          <w:tcPr>
            <w:tcW w:w="672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080" w:type="dxa"/>
            <w:vAlign w:val="bottom"/>
            <w:vMerge w:val="continue"/>
          </w:tcPr>
          <w:p>
            <w:pPr>
              <w:spacing w:after="0"/>
              <w:rPr>
                <w:sz w:val="12"/>
                <w:szCs w:val="12"/>
                <w:color w:val="auto"/>
              </w:rPr>
            </w:pPr>
          </w:p>
        </w:tc>
        <w:tc>
          <w:tcPr>
            <w:tcW w:w="6720" w:type="dxa"/>
            <w:vAlign w:val="bottom"/>
            <w:gridSpan w:val="3"/>
          </w:tcPr>
          <w:p>
            <w:pPr>
              <w:jc w:val="center"/>
              <w:ind w:right="6060"/>
              <w:spacing w:after="0" w:line="145" w:lineRule="exact"/>
              <w:rPr>
                <w:sz w:val="20"/>
                <w:szCs w:val="20"/>
                <w:color w:val="auto"/>
              </w:rPr>
            </w:pPr>
            <w:r>
              <w:rPr>
                <w:rFonts w:ascii="Arial" w:cs="Arial" w:eastAsia="Arial" w:hAnsi="Arial"/>
                <w:sz w:val="14"/>
                <w:szCs w:val="14"/>
                <w:color w:val="auto"/>
              </w:rPr>
              <w:t>Shares</w:t>
            </w: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68%</w:t>
            </w: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50% Weight</w:t>
            </w:r>
          </w:p>
        </w:tc>
        <w:tc>
          <w:tcPr>
            <w:tcW w:w="6720" w:type="dxa"/>
            <w:vAlign w:val="bottom"/>
            <w:gridSpan w:val="3"/>
            <w:vMerge w:val="restart"/>
          </w:tcPr>
          <w:p>
            <w:pPr>
              <w:jc w:val="center"/>
              <w:ind w:right="6060"/>
              <w:spacing w:after="0"/>
              <w:rPr>
                <w:sz w:val="20"/>
                <w:szCs w:val="20"/>
                <w:color w:val="auto"/>
              </w:rPr>
            </w:pPr>
            <w:r>
              <w:rPr>
                <w:rFonts w:ascii="Arial" w:cs="Arial" w:eastAsia="Arial" w:hAnsi="Arial"/>
                <w:sz w:val="14"/>
                <w:szCs w:val="14"/>
                <w:color w:val="auto"/>
              </w:rPr>
              <w:t>Earned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080" w:type="dxa"/>
            <w:vAlign w:val="bottom"/>
          </w:tcPr>
          <w:p>
            <w:pPr>
              <w:spacing w:after="0"/>
              <w:rPr>
                <w:sz w:val="4"/>
                <w:szCs w:val="4"/>
                <w:color w:val="auto"/>
              </w:rPr>
            </w:pPr>
          </w:p>
        </w:tc>
        <w:tc>
          <w:tcPr>
            <w:tcW w:w="672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EPS Growth</w:t>
            </w:r>
          </w:p>
        </w:tc>
        <w:tc>
          <w:tcPr>
            <w:tcW w:w="3820" w:type="dxa"/>
            <w:vAlign w:val="bottom"/>
          </w:tcPr>
          <w:p>
            <w:pPr>
              <w:jc w:val="center"/>
              <w:ind w:right="3088"/>
              <w:spacing w:after="0"/>
              <w:rPr>
                <w:sz w:val="20"/>
                <w:szCs w:val="20"/>
                <w:color w:val="auto"/>
              </w:rPr>
            </w:pPr>
            <w:r>
              <w:rPr>
                <w:rFonts w:ascii="Arial" w:cs="Arial" w:eastAsia="Arial" w:hAnsi="Arial"/>
                <w:sz w:val="14"/>
                <w:szCs w:val="14"/>
                <w:color w:val="auto"/>
              </w:rPr>
              <w:t>% of</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940" w:type="dxa"/>
            <w:vAlign w:val="bottom"/>
            <w:vMerge w:val="continue"/>
          </w:tcPr>
          <w:p>
            <w:pPr>
              <w:spacing w:after="0"/>
              <w:rPr>
                <w:sz w:val="8"/>
                <w:szCs w:val="8"/>
                <w:color w:val="auto"/>
              </w:rPr>
            </w:pPr>
          </w:p>
        </w:tc>
        <w:tc>
          <w:tcPr>
            <w:tcW w:w="3820" w:type="dxa"/>
            <w:vAlign w:val="bottom"/>
            <w:vMerge w:val="restart"/>
          </w:tcPr>
          <w:p>
            <w:pPr>
              <w:jc w:val="center"/>
              <w:ind w:right="3108"/>
              <w:spacing w:after="0"/>
              <w:rPr>
                <w:sz w:val="20"/>
                <w:szCs w:val="20"/>
                <w:color w:val="auto"/>
              </w:rPr>
            </w:pPr>
            <w:r>
              <w:rPr>
                <w:rFonts w:ascii="Arial" w:cs="Arial" w:eastAsia="Arial" w:hAnsi="Arial"/>
                <w:sz w:val="14"/>
                <w:szCs w:val="14"/>
                <w:color w:val="auto"/>
                <w:w w:val="98"/>
              </w:rPr>
              <w:t>Target</w:t>
            </w:r>
          </w:p>
        </w:tc>
        <w:tc>
          <w:tcPr>
            <w:tcW w:w="3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Metric</w:t>
            </w:r>
          </w:p>
        </w:tc>
        <w:tc>
          <w:tcPr>
            <w:tcW w:w="3820" w:type="dxa"/>
            <w:vAlign w:val="bottom"/>
            <w:vMerge w:val="continue"/>
          </w:tcPr>
          <w:p>
            <w:pPr>
              <w:spacing w:after="0"/>
              <w:rPr>
                <w:sz w:val="8"/>
                <w:szCs w:val="8"/>
                <w:color w:val="auto"/>
              </w:rPr>
            </w:pPr>
          </w:p>
        </w:tc>
        <w:tc>
          <w:tcPr>
            <w:tcW w:w="3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vMerge w:val="continue"/>
          </w:tcPr>
          <w:p>
            <w:pPr>
              <w:spacing w:after="0"/>
              <w:rPr>
                <w:sz w:val="8"/>
                <w:szCs w:val="8"/>
                <w:color w:val="auto"/>
              </w:rPr>
            </w:pPr>
          </w:p>
        </w:tc>
        <w:tc>
          <w:tcPr>
            <w:tcW w:w="3820" w:type="dxa"/>
            <w:vAlign w:val="bottom"/>
            <w:vMerge w:val="restart"/>
          </w:tcPr>
          <w:p>
            <w:pPr>
              <w:jc w:val="center"/>
              <w:ind w:right="3088"/>
              <w:spacing w:after="0"/>
              <w:rPr>
                <w:sz w:val="20"/>
                <w:szCs w:val="20"/>
                <w:color w:val="auto"/>
              </w:rPr>
            </w:pPr>
            <w:r>
              <w:rPr>
                <w:rFonts w:ascii="Arial" w:cs="Arial" w:eastAsia="Arial" w:hAnsi="Arial"/>
                <w:sz w:val="14"/>
                <w:szCs w:val="14"/>
                <w:color w:val="auto"/>
              </w:rPr>
              <w:t>Shares</w:t>
            </w:r>
          </w:p>
        </w:tc>
        <w:tc>
          <w:tcPr>
            <w:tcW w:w="3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95"/>
        </w:trPr>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50% Weight</w:t>
            </w:r>
          </w:p>
        </w:tc>
        <w:tc>
          <w:tcPr>
            <w:tcW w:w="3820" w:type="dxa"/>
            <w:vAlign w:val="bottom"/>
            <w:vMerge w:val="continue"/>
          </w:tcPr>
          <w:p>
            <w:pPr>
              <w:spacing w:after="0"/>
              <w:rPr>
                <w:sz w:val="8"/>
                <w:szCs w:val="8"/>
                <w:color w:val="auto"/>
              </w:rPr>
            </w:pPr>
          </w:p>
        </w:tc>
        <w:tc>
          <w:tcPr>
            <w:tcW w:w="3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3820" w:type="dxa"/>
            <w:vAlign w:val="bottom"/>
            <w:vMerge w:val="restart"/>
          </w:tcPr>
          <w:p>
            <w:pPr>
              <w:jc w:val="center"/>
              <w:ind w:right="3088"/>
              <w:spacing w:after="0"/>
              <w:rPr>
                <w:sz w:val="20"/>
                <w:szCs w:val="20"/>
                <w:color w:val="auto"/>
              </w:rPr>
            </w:pPr>
            <w:r>
              <w:rPr>
                <w:rFonts w:ascii="Arial" w:cs="Arial" w:eastAsia="Arial" w:hAnsi="Arial"/>
                <w:sz w:val="14"/>
                <w:szCs w:val="14"/>
                <w:color w:val="auto"/>
              </w:rPr>
              <w:t>Earned</w:t>
            </w:r>
          </w:p>
        </w:tc>
        <w:tc>
          <w:tcPr>
            <w:tcW w:w="3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65</w:t>
      </w:r>
    </w:p>
    <w:p>
      <w:pPr>
        <w:sectPr>
          <w:pgSz w:w="11900" w:h="16838" w:orient="portrait"/>
          <w:cols w:equalWidth="0" w:num="1">
            <w:col w:w="9019"/>
          </w:cols>
          <w:pgMar w:left="1440" w:top="657" w:right="1440" w:bottom="1440" w:gutter="0" w:footer="0" w:header="0"/>
          <w:type w:val="continuous"/>
        </w:sectPr>
      </w:pPr>
    </w:p>
    <w:bookmarkStart w:id="68" w:name="page69"/>
    <w:bookmarkEnd w:id="68"/>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15" w:lineRule="exact"/>
        <w:rPr>
          <w:sz w:val="20"/>
          <w:szCs w:val="20"/>
          <w:color w:val="auto"/>
        </w:rPr>
      </w:pPr>
    </w:p>
    <w:p>
      <w:pPr>
        <w:ind w:left="140" w:right="159"/>
        <w:spacing w:after="0" w:line="289" w:lineRule="auto"/>
        <w:rPr>
          <w:sz w:val="20"/>
          <w:szCs w:val="20"/>
          <w:color w:val="auto"/>
        </w:rPr>
      </w:pPr>
      <w:r>
        <w:rPr>
          <w:rFonts w:ascii="Arial" w:cs="Arial" w:eastAsia="Arial" w:hAnsi="Arial"/>
          <w:sz w:val="16"/>
          <w:szCs w:val="16"/>
          <w:color w:val="auto"/>
        </w:rPr>
        <w:t>The relative TSR modifier will be applied at the end of the three-year performance period based on cumulative relative TSR over the entire three-year period. As a result, the ultimate payout of the 2025 PSUs with respect to the 2025 performance year cannot be calculated at this time. Consistent with the Company’s historical design, the 2025 tranche of 2025 PSUs remains subject to time-based vesting through February 28, 2028.</w:t>
      </w:r>
    </w:p>
    <w:p>
      <w:pPr>
        <w:spacing w:after="0" w:line="113" w:lineRule="exact"/>
        <w:rPr>
          <w:sz w:val="20"/>
          <w:szCs w:val="20"/>
          <w:color w:val="auto"/>
        </w:rPr>
      </w:pPr>
    </w:p>
    <w:p>
      <w:pPr>
        <w:ind w:left="140" w:right="199"/>
        <w:spacing w:after="0" w:line="287" w:lineRule="auto"/>
        <w:rPr>
          <w:sz w:val="20"/>
          <w:szCs w:val="20"/>
          <w:color w:val="auto"/>
        </w:rPr>
      </w:pPr>
      <w:r>
        <w:rPr>
          <w:rFonts w:ascii="Arial" w:cs="Arial" w:eastAsia="Arial" w:hAnsi="Arial"/>
          <w:sz w:val="16"/>
          <w:szCs w:val="16"/>
          <w:b w:val="1"/>
          <w:bCs w:val="1"/>
          <w:color w:val="auto"/>
        </w:rPr>
        <w:t xml:space="preserve">2024 PSUs: </w:t>
      </w:r>
      <w:r>
        <w:rPr>
          <w:rFonts w:ascii="Arial" w:cs="Arial" w:eastAsia="Arial" w:hAnsi="Arial"/>
          <w:sz w:val="16"/>
          <w:szCs w:val="16"/>
          <w:color w:val="auto"/>
        </w:rPr>
        <w:t>For the 2024 PSUs, because 2024 EPS performance exceeded the maximum level, the</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growth for 2025 was</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measured from the 2024 maximum level rather than 2024 actual results, resulting in a lower starting point for measuring EPS growth in 2025 than was used for the 2025 PSUs. The Company’s 2025 performance resulted in 200% of the target shares being earned for the second year of the 2024 PSUs, before application of the relative TSR modifier (in the case of Ms. Ferris and Mr. Kehoe), as further described below.</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31C5B"/>
        </w:rPr>
        <w:t>2024 PSUs - Performance Goals and Results for 2025 Performance Year</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Calculated</w:t>
            </w: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6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Measure and</w:t>
            </w:r>
          </w:p>
        </w:tc>
        <w:tc>
          <w:tcPr>
            <w:tcW w:w="6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(Weight x %</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w:t>
            </w:r>
          </w:p>
        </w:tc>
        <w:tc>
          <w:tcPr>
            <w:tcW w:w="640" w:type="dxa"/>
            <w:vAlign w:val="bottom"/>
          </w:tcPr>
          <w:p>
            <w:pPr>
              <w:spacing w:after="0"/>
              <w:rPr>
                <w:sz w:val="14"/>
                <w:szCs w:val="14"/>
                <w:color w:val="auto"/>
              </w:rPr>
            </w:pPr>
          </w:p>
        </w:tc>
        <w:tc>
          <w:tcPr>
            <w:tcW w:w="59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Performance and Payout Levels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Earned)</w:t>
            </w:r>
          </w:p>
        </w:tc>
        <w:tc>
          <w:tcPr>
            <w:tcW w:w="0" w:type="dxa"/>
            <w:vAlign w:val="bottom"/>
          </w:tcPr>
          <w:p>
            <w:pPr>
              <w:spacing w:after="0"/>
              <w:rPr>
                <w:sz w:val="1"/>
                <w:szCs w:val="1"/>
                <w:color w:val="auto"/>
              </w:rPr>
            </w:pPr>
          </w:p>
        </w:tc>
      </w:tr>
      <w:tr>
        <w:trPr>
          <w:trHeight w:val="551"/>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Revenue</w:t>
            </w:r>
          </w:p>
        </w:tc>
        <w:tc>
          <w:tcPr>
            <w:tcW w:w="6720" w:type="dxa"/>
            <w:vAlign w:val="bottom"/>
            <w:gridSpan w:val="3"/>
          </w:tcPr>
          <w:p>
            <w:pPr>
              <w:jc w:val="center"/>
              <w:ind w:right="6060"/>
              <w:spacing w:after="0"/>
              <w:rPr>
                <w:sz w:val="20"/>
                <w:szCs w:val="20"/>
                <w:color w:val="auto"/>
              </w:rPr>
            </w:pPr>
            <w:r>
              <w:rPr>
                <w:rFonts w:ascii="Arial" w:cs="Arial" w:eastAsia="Arial" w:hAnsi="Arial"/>
                <w:sz w:val="14"/>
                <w:szCs w:val="14"/>
                <w:color w:val="auto"/>
              </w:rPr>
              <w:t>% of</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80" w:type="dxa"/>
            <w:vAlign w:val="bottom"/>
            <w:vMerge w:val="continue"/>
          </w:tcPr>
          <w:p>
            <w:pPr>
              <w:spacing w:after="0"/>
              <w:rPr>
                <w:sz w:val="7"/>
                <w:szCs w:val="7"/>
                <w:color w:val="auto"/>
              </w:rPr>
            </w:pPr>
          </w:p>
        </w:tc>
        <w:tc>
          <w:tcPr>
            <w:tcW w:w="6720" w:type="dxa"/>
            <w:vAlign w:val="bottom"/>
            <w:gridSpan w:val="3"/>
            <w:vMerge w:val="restart"/>
          </w:tcPr>
          <w:p>
            <w:pPr>
              <w:jc w:val="center"/>
              <w:ind w:right="6080"/>
              <w:spacing w:after="0"/>
              <w:rPr>
                <w:sz w:val="20"/>
                <w:szCs w:val="20"/>
                <w:color w:val="auto"/>
              </w:rPr>
            </w:pPr>
            <w:r>
              <w:rPr>
                <w:rFonts w:ascii="Arial" w:cs="Arial" w:eastAsia="Arial" w:hAnsi="Arial"/>
                <w:sz w:val="14"/>
                <w:szCs w:val="14"/>
                <w:color w:val="auto"/>
                <w:w w:val="98"/>
              </w:rPr>
              <w:t>Target</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Growth Metric</w:t>
            </w:r>
          </w:p>
        </w:tc>
        <w:tc>
          <w:tcPr>
            <w:tcW w:w="6720" w:type="dxa"/>
            <w:vAlign w:val="bottom"/>
            <w:gridSpan w:val="3"/>
            <w:vMerge w:val="continue"/>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39"/>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50% Weight</w:t>
            </w:r>
          </w:p>
        </w:tc>
        <w:tc>
          <w:tcPr>
            <w:tcW w:w="6720" w:type="dxa"/>
            <w:vAlign w:val="bottom"/>
            <w:gridSpan w:val="3"/>
          </w:tcPr>
          <w:p>
            <w:pPr>
              <w:jc w:val="center"/>
              <w:ind w:right="6060"/>
              <w:spacing w:after="0" w:line="139" w:lineRule="exact"/>
              <w:rPr>
                <w:sz w:val="20"/>
                <w:szCs w:val="20"/>
                <w:color w:val="auto"/>
              </w:rPr>
            </w:pPr>
            <w:r>
              <w:rPr>
                <w:rFonts w:ascii="Arial" w:cs="Arial" w:eastAsia="Arial" w:hAnsi="Arial"/>
                <w:sz w:val="14"/>
                <w:szCs w:val="14"/>
                <w:color w:val="auto"/>
              </w:rPr>
              <w:t>Shares</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080" w:type="dxa"/>
            <w:vAlign w:val="bottom"/>
            <w:vMerge w:val="continue"/>
          </w:tcPr>
          <w:p>
            <w:pPr>
              <w:spacing w:after="0"/>
              <w:rPr>
                <w:sz w:val="8"/>
                <w:szCs w:val="8"/>
                <w:color w:val="auto"/>
              </w:rPr>
            </w:pPr>
          </w:p>
        </w:tc>
        <w:tc>
          <w:tcPr>
            <w:tcW w:w="6720" w:type="dxa"/>
            <w:vAlign w:val="bottom"/>
            <w:gridSpan w:val="3"/>
            <w:vMerge w:val="restart"/>
          </w:tcPr>
          <w:p>
            <w:pPr>
              <w:jc w:val="center"/>
              <w:ind w:right="6060"/>
              <w:spacing w:after="0"/>
              <w:rPr>
                <w:sz w:val="20"/>
                <w:szCs w:val="20"/>
                <w:color w:val="auto"/>
              </w:rPr>
            </w:pPr>
            <w:r>
              <w:rPr>
                <w:rFonts w:ascii="Arial" w:cs="Arial" w:eastAsia="Arial" w:hAnsi="Arial"/>
                <w:sz w:val="14"/>
                <w:szCs w:val="14"/>
                <w:color w:val="auto"/>
              </w:rPr>
              <w:t>Earned</w:t>
            </w: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080" w:type="dxa"/>
            <w:vAlign w:val="bottom"/>
          </w:tcPr>
          <w:p>
            <w:pPr>
              <w:spacing w:after="0"/>
              <w:rPr>
                <w:sz w:val="7"/>
                <w:szCs w:val="7"/>
                <w:color w:val="auto"/>
              </w:rPr>
            </w:pPr>
          </w:p>
        </w:tc>
        <w:tc>
          <w:tcPr>
            <w:tcW w:w="6720" w:type="dxa"/>
            <w:vAlign w:val="bottom"/>
            <w:gridSpan w:val="3"/>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EPS Growth</w:t>
            </w:r>
          </w:p>
        </w:tc>
        <w:tc>
          <w:tcPr>
            <w:tcW w:w="3800" w:type="dxa"/>
            <w:vAlign w:val="bottom"/>
          </w:tcPr>
          <w:p>
            <w:pPr>
              <w:jc w:val="center"/>
              <w:ind w:right="3068"/>
              <w:spacing w:after="0"/>
              <w:rPr>
                <w:sz w:val="20"/>
                <w:szCs w:val="20"/>
                <w:color w:val="auto"/>
              </w:rPr>
            </w:pPr>
            <w:r>
              <w:rPr>
                <w:rFonts w:ascii="Arial" w:cs="Arial" w:eastAsia="Arial" w:hAnsi="Arial"/>
                <w:sz w:val="14"/>
                <w:szCs w:val="14"/>
                <w:color w:val="auto"/>
              </w:rPr>
              <w:t>% of</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940" w:type="dxa"/>
            <w:vAlign w:val="bottom"/>
            <w:vMerge w:val="continue"/>
          </w:tcPr>
          <w:p>
            <w:pPr>
              <w:spacing w:after="0"/>
              <w:rPr>
                <w:sz w:val="8"/>
                <w:szCs w:val="8"/>
                <w:color w:val="auto"/>
              </w:rPr>
            </w:pPr>
          </w:p>
        </w:tc>
        <w:tc>
          <w:tcPr>
            <w:tcW w:w="3800" w:type="dxa"/>
            <w:vAlign w:val="bottom"/>
            <w:vMerge w:val="restart"/>
          </w:tcPr>
          <w:p>
            <w:pPr>
              <w:jc w:val="center"/>
              <w:ind w:right="3088"/>
              <w:spacing w:after="0"/>
              <w:rPr>
                <w:sz w:val="20"/>
                <w:szCs w:val="20"/>
                <w:color w:val="auto"/>
              </w:rPr>
            </w:pPr>
            <w:r>
              <w:rPr>
                <w:rFonts w:ascii="Arial" w:cs="Arial" w:eastAsia="Arial" w:hAnsi="Arial"/>
                <w:sz w:val="14"/>
                <w:szCs w:val="14"/>
                <w:color w:val="auto"/>
                <w:w w:val="98"/>
              </w:rPr>
              <w:t>Target</w:t>
            </w: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Metric</w:t>
            </w:r>
          </w:p>
        </w:tc>
        <w:tc>
          <w:tcPr>
            <w:tcW w:w="380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40" w:type="dxa"/>
            <w:vAlign w:val="bottom"/>
            <w:vMerge w:val="continue"/>
          </w:tcPr>
          <w:p>
            <w:pPr>
              <w:spacing w:after="0"/>
              <w:rPr>
                <w:sz w:val="8"/>
                <w:szCs w:val="8"/>
                <w:color w:val="auto"/>
              </w:rPr>
            </w:pPr>
          </w:p>
        </w:tc>
        <w:tc>
          <w:tcPr>
            <w:tcW w:w="3800" w:type="dxa"/>
            <w:vAlign w:val="bottom"/>
            <w:vMerge w:val="restart"/>
          </w:tcPr>
          <w:p>
            <w:pPr>
              <w:jc w:val="center"/>
              <w:ind w:right="3068"/>
              <w:spacing w:after="0"/>
              <w:rPr>
                <w:sz w:val="20"/>
                <w:szCs w:val="20"/>
                <w:color w:val="auto"/>
              </w:rPr>
            </w:pPr>
            <w:r>
              <w:rPr>
                <w:rFonts w:ascii="Arial" w:cs="Arial" w:eastAsia="Arial" w:hAnsi="Arial"/>
                <w:sz w:val="14"/>
                <w:szCs w:val="14"/>
                <w:color w:val="auto"/>
              </w:rPr>
              <w:t>Shares</w:t>
            </w:r>
          </w:p>
        </w:tc>
        <w:tc>
          <w:tcPr>
            <w:tcW w:w="3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95"/>
        </w:trPr>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50% Weight</w:t>
            </w:r>
          </w:p>
        </w:tc>
        <w:tc>
          <w:tcPr>
            <w:tcW w:w="3800" w:type="dxa"/>
            <w:vAlign w:val="bottom"/>
            <w:vMerge w:val="continue"/>
          </w:tcPr>
          <w:p>
            <w:pPr>
              <w:spacing w:after="0"/>
              <w:rPr>
                <w:sz w:val="8"/>
                <w:szCs w:val="8"/>
                <w:color w:val="auto"/>
              </w:rPr>
            </w:pPr>
          </w:p>
        </w:tc>
        <w:tc>
          <w:tcPr>
            <w:tcW w:w="3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3800" w:type="dxa"/>
            <w:vAlign w:val="bottom"/>
            <w:vMerge w:val="restart"/>
          </w:tcPr>
          <w:p>
            <w:pPr>
              <w:jc w:val="center"/>
              <w:ind w:right="3068"/>
              <w:spacing w:after="0"/>
              <w:rPr>
                <w:sz w:val="20"/>
                <w:szCs w:val="20"/>
                <w:color w:val="auto"/>
              </w:rPr>
            </w:pPr>
            <w:r>
              <w:rPr>
                <w:rFonts w:ascii="Arial" w:cs="Arial" w:eastAsia="Arial" w:hAnsi="Arial"/>
                <w:sz w:val="14"/>
                <w:szCs w:val="14"/>
                <w:color w:val="auto"/>
              </w:rPr>
              <w:t>Earned</w:t>
            </w:r>
          </w:p>
        </w:tc>
        <w:tc>
          <w:tcPr>
            <w:tcW w:w="3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0" w:hanging="250"/>
        <w:spacing w:after="0"/>
        <w:tabs>
          <w:tab w:leader="none" w:pos="380" w:val="left"/>
        </w:tabs>
        <w:numPr>
          <w:ilvl w:val="0"/>
          <w:numId w:val="93"/>
        </w:numPr>
        <w:rPr>
          <w:rFonts w:ascii="Arial" w:cs="Arial" w:eastAsia="Arial" w:hAnsi="Arial"/>
          <w:sz w:val="16"/>
          <w:szCs w:val="16"/>
          <w:color w:val="auto"/>
          <w:vertAlign w:val="superscript"/>
        </w:rPr>
      </w:pPr>
      <w:r>
        <w:rPr>
          <w:rFonts w:ascii="Arial" w:cs="Arial" w:eastAsia="Arial" w:hAnsi="Arial"/>
          <w:sz w:val="13"/>
          <w:szCs w:val="13"/>
          <w:color w:val="auto"/>
        </w:rPr>
        <w:t>Measured from 2024 Maximum Performance level.</w:t>
      </w:r>
    </w:p>
    <w:p>
      <w:pPr>
        <w:spacing w:after="0" w:line="175" w:lineRule="exact"/>
        <w:rPr>
          <w:sz w:val="20"/>
          <w:szCs w:val="20"/>
          <w:color w:val="auto"/>
        </w:rPr>
      </w:pPr>
    </w:p>
    <w:p>
      <w:pPr>
        <w:ind w:left="140" w:right="239"/>
        <w:spacing w:after="0" w:line="279" w:lineRule="auto"/>
        <w:rPr>
          <w:sz w:val="20"/>
          <w:szCs w:val="20"/>
          <w:color w:val="auto"/>
        </w:rPr>
      </w:pPr>
      <w:r>
        <w:rPr>
          <w:rFonts w:ascii="Arial" w:cs="Arial" w:eastAsia="Arial" w:hAnsi="Arial"/>
          <w:sz w:val="16"/>
          <w:szCs w:val="16"/>
          <w:color w:val="auto"/>
        </w:rPr>
        <w:t>The 2024 PSUs awarded to the NEOs other than the CEO and CFO did not include a relative TSR modifier, and accordingly the payout for those NEOs with respect to the 2025 performance year was 200% of the target amount, as shown in the table above. For the CEO and CFO, the relative TSR modifier will be applied at the end of the three-year performance period based on cumulative relative TSR over the entire three-year period. As a result, the ultimate payout of their 2024 PSUs with respect to the 2025 performance year cannot be calculated at this time. Consistent with the Company’s historical design, the 2025 tranche of 2024 PSUs remains subject to time-based vesting through February 28, 2027.</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431C5B"/>
        </w:rPr>
        <w:t>2023 PSUs</w:t>
      </w:r>
    </w:p>
    <w:p>
      <w:pPr>
        <w:spacing w:after="0" w:line="90"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The PSUs granted in 2023 use a single three-year performance period and are earned based on the Company’s cumulative total shareholder return compared to the S&amp;P 500 Index. The Company’s cumulative TSR over the three-year performance period ranked at the 30th percentile of the S&amp;P 500 Index, which represented the threshold level of performance and resulted in the PSUs being earned at 50% of the target amount. Based on the Company’s stock price on the vesting date of February 28, 2026 compared to the price on the grant date, the realized value of these PSUs was 40.2% of the grant date target value.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20" w:hanging="429"/>
        <w:spacing w:after="0"/>
        <w:tabs>
          <w:tab w:leader="none" w:pos="620" w:val="left"/>
        </w:tabs>
        <w:numPr>
          <w:ilvl w:val="0"/>
          <w:numId w:val="94"/>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69" w:name="page70"/>
    <w:bookmarkEnd w:id="69"/>
    <w:tbl>
      <w:tblPr>
        <w:tblLayout w:type="fixed"/>
        <w:tblInd w:w="120" w:type="dxa"/>
        <w:tblCellMar>
          <w:top w:w="0" w:type="dxa"/>
          <w:left w:w="0" w:type="dxa"/>
          <w:bottom w:w="0" w:type="dxa"/>
          <w:right w:w="0" w:type="dxa"/>
        </w:tblCellMar>
      </w:tblPr>
      <w:tr>
        <w:trPr>
          <w:trHeight w:val="196"/>
        </w:trPr>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860" w:type="dxa"/>
            <w:vAlign w:val="bottom"/>
            <w:gridSpan w:val="3"/>
          </w:tcPr>
          <w:p>
            <w:pPr>
              <w:ind w:left="120"/>
              <w:spacing w:after="0"/>
              <w:rPr>
                <w:sz w:val="20"/>
                <w:szCs w:val="20"/>
                <w:color w:val="auto"/>
              </w:rPr>
            </w:pPr>
            <w:r>
              <w:rPr>
                <w:rFonts w:ascii="Arial" w:cs="Arial" w:eastAsia="Arial" w:hAnsi="Arial"/>
                <w:sz w:val="14"/>
                <w:szCs w:val="14"/>
                <w:b w:val="1"/>
                <w:bCs w:val="1"/>
                <w:color w:val="431C5B"/>
              </w:rPr>
              <w:t>Compensation Discussion and Analysis</w:t>
            </w:r>
          </w:p>
        </w:tc>
        <w:tc>
          <w:tcPr>
            <w:tcW w:w="0" w:type="dxa"/>
            <w:vAlign w:val="bottom"/>
          </w:tcPr>
          <w:p>
            <w:pPr>
              <w:spacing w:after="0"/>
              <w:rPr>
                <w:sz w:val="1"/>
                <w:szCs w:val="1"/>
                <w:color w:val="auto"/>
              </w:rPr>
            </w:pPr>
          </w:p>
        </w:tc>
      </w:tr>
      <w:tr>
        <w:trPr>
          <w:trHeight w:val="622"/>
        </w:trPr>
        <w:tc>
          <w:tcPr>
            <w:tcW w:w="8760" w:type="dxa"/>
            <w:vAlign w:val="bottom"/>
            <w:gridSpan w:val="6"/>
          </w:tcPr>
          <w:p>
            <w:pPr>
              <w:ind w:left="1000"/>
              <w:spacing w:after="0"/>
              <w:rPr>
                <w:sz w:val="20"/>
                <w:szCs w:val="20"/>
                <w:color w:val="auto"/>
              </w:rPr>
            </w:pPr>
            <w:r>
              <w:rPr>
                <w:rFonts w:ascii="Arial" w:cs="Arial" w:eastAsia="Arial" w:hAnsi="Arial"/>
                <w:sz w:val="18"/>
                <w:szCs w:val="18"/>
                <w:b w:val="1"/>
                <w:bCs w:val="1"/>
                <w:color w:val="431C5B"/>
              </w:rPr>
              <w:t>2023 PSUs - Performance Goals and Results for 2023 - 2025 Performance Years</w:t>
            </w:r>
          </w:p>
        </w:tc>
        <w:tc>
          <w:tcPr>
            <w:tcW w:w="0" w:type="dxa"/>
            <w:vAlign w:val="bottom"/>
          </w:tcPr>
          <w:p>
            <w:pPr>
              <w:spacing w:after="0"/>
              <w:rPr>
                <w:sz w:val="1"/>
                <w:szCs w:val="1"/>
                <w:color w:val="auto"/>
              </w:rPr>
            </w:pPr>
          </w:p>
        </w:tc>
      </w:tr>
      <w:tr>
        <w:trPr>
          <w:trHeight w:val="330"/>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Calculated</w:t>
            </w:r>
          </w:p>
        </w:tc>
        <w:tc>
          <w:tcPr>
            <w:tcW w:w="0" w:type="dxa"/>
            <w:vAlign w:val="bottom"/>
          </w:tcPr>
          <w:p>
            <w:pPr>
              <w:spacing w:after="0"/>
              <w:rPr>
                <w:sz w:val="1"/>
                <w:szCs w:val="1"/>
                <w:color w:val="auto"/>
              </w:rPr>
            </w:pPr>
          </w:p>
        </w:tc>
      </w:tr>
      <w:tr>
        <w:trPr>
          <w:trHeight w:val="175"/>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6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Measure</w:t>
            </w:r>
          </w:p>
        </w:tc>
        <w:tc>
          <w:tcPr>
            <w:tcW w:w="6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(Weight x %</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Weight</w:t>
            </w:r>
          </w:p>
        </w:tc>
        <w:tc>
          <w:tcPr>
            <w:tcW w:w="640" w:type="dxa"/>
            <w:vAlign w:val="bottom"/>
          </w:tcPr>
          <w:p>
            <w:pPr>
              <w:spacing w:after="0"/>
              <w:rPr>
                <w:sz w:val="14"/>
                <w:szCs w:val="14"/>
                <w:color w:val="auto"/>
              </w:rPr>
            </w:pPr>
          </w:p>
        </w:tc>
        <w:tc>
          <w:tcPr>
            <w:tcW w:w="418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Performance and Payout Levels</w:t>
            </w:r>
          </w:p>
        </w:tc>
        <w:tc>
          <w:tcPr>
            <w:tcW w:w="1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Earned)</w:t>
            </w:r>
          </w:p>
        </w:tc>
        <w:tc>
          <w:tcPr>
            <w:tcW w:w="0" w:type="dxa"/>
            <w:vAlign w:val="bottom"/>
          </w:tcPr>
          <w:p>
            <w:pPr>
              <w:spacing w:after="0"/>
              <w:rPr>
                <w:sz w:val="1"/>
                <w:szCs w:val="1"/>
                <w:color w:val="auto"/>
              </w:rPr>
            </w:pPr>
          </w:p>
        </w:tc>
      </w:tr>
      <w:tr>
        <w:trPr>
          <w:trHeight w:val="335"/>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Relative Total</w:t>
            </w:r>
          </w:p>
        </w:tc>
        <w:tc>
          <w:tcPr>
            <w:tcW w:w="4820" w:type="dxa"/>
            <w:vAlign w:val="bottom"/>
            <w:gridSpan w:val="2"/>
            <w:vMerge w:val="restart"/>
          </w:tcPr>
          <w:p>
            <w:pPr>
              <w:jc w:val="center"/>
              <w:ind w:right="4088"/>
              <w:spacing w:after="0"/>
              <w:rPr>
                <w:sz w:val="20"/>
                <w:szCs w:val="20"/>
                <w:color w:val="auto"/>
              </w:rPr>
            </w:pPr>
            <w:r>
              <w:rPr>
                <w:rFonts w:ascii="Arial" w:cs="Arial" w:eastAsia="Arial" w:hAnsi="Arial"/>
                <w:sz w:val="14"/>
                <w:szCs w:val="14"/>
                <w:color w:val="auto"/>
              </w:rPr>
              <w:t>% of</w:t>
            </w: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Shareholder</w:t>
            </w:r>
          </w:p>
        </w:tc>
        <w:tc>
          <w:tcPr>
            <w:tcW w:w="4820" w:type="dxa"/>
            <w:vAlign w:val="bottom"/>
            <w:gridSpan w:val="2"/>
            <w:vMerge w:val="continue"/>
          </w:tcPr>
          <w:p>
            <w:pPr>
              <w:spacing w:after="0"/>
              <w:rPr>
                <w:sz w:val="8"/>
                <w:szCs w:val="8"/>
                <w:color w:val="auto"/>
              </w:rPr>
            </w:pPr>
          </w:p>
        </w:tc>
        <w:tc>
          <w:tcPr>
            <w:tcW w:w="1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80" w:type="dxa"/>
            <w:vAlign w:val="bottom"/>
            <w:vMerge w:val="continue"/>
          </w:tcPr>
          <w:p>
            <w:pPr>
              <w:spacing w:after="0"/>
              <w:rPr>
                <w:sz w:val="8"/>
                <w:szCs w:val="8"/>
                <w:color w:val="auto"/>
              </w:rPr>
            </w:pPr>
          </w:p>
        </w:tc>
        <w:tc>
          <w:tcPr>
            <w:tcW w:w="4820" w:type="dxa"/>
            <w:vAlign w:val="bottom"/>
            <w:gridSpan w:val="2"/>
            <w:vMerge w:val="restart"/>
          </w:tcPr>
          <w:p>
            <w:pPr>
              <w:jc w:val="center"/>
              <w:ind w:right="4108"/>
              <w:spacing w:after="0"/>
              <w:rPr>
                <w:sz w:val="20"/>
                <w:szCs w:val="20"/>
                <w:color w:val="auto"/>
              </w:rPr>
            </w:pPr>
            <w:r>
              <w:rPr>
                <w:rFonts w:ascii="Arial" w:cs="Arial" w:eastAsia="Arial" w:hAnsi="Arial"/>
                <w:sz w:val="14"/>
                <w:szCs w:val="14"/>
                <w:color w:val="auto"/>
                <w:w w:val="98"/>
              </w:rPr>
              <w:t>Target</w:t>
            </w:r>
          </w:p>
        </w:tc>
        <w:tc>
          <w:tcPr>
            <w:tcW w:w="1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Return (rTSR)</w:t>
            </w:r>
          </w:p>
        </w:tc>
        <w:tc>
          <w:tcPr>
            <w:tcW w:w="4820" w:type="dxa"/>
            <w:vAlign w:val="bottom"/>
            <w:gridSpan w:val="2"/>
            <w:vMerge w:val="continue"/>
          </w:tcPr>
          <w:p>
            <w:pPr>
              <w:spacing w:after="0"/>
              <w:rPr>
                <w:sz w:val="8"/>
                <w:szCs w:val="8"/>
                <w:color w:val="auto"/>
              </w:rPr>
            </w:pPr>
          </w:p>
        </w:tc>
        <w:tc>
          <w:tcPr>
            <w:tcW w:w="1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vMerge w:val="continue"/>
          </w:tcPr>
          <w:p>
            <w:pPr>
              <w:spacing w:after="0"/>
              <w:rPr>
                <w:sz w:val="7"/>
                <w:szCs w:val="7"/>
                <w:color w:val="auto"/>
              </w:rPr>
            </w:pPr>
          </w:p>
        </w:tc>
        <w:tc>
          <w:tcPr>
            <w:tcW w:w="4820" w:type="dxa"/>
            <w:vAlign w:val="bottom"/>
            <w:gridSpan w:val="2"/>
            <w:vMerge w:val="restart"/>
          </w:tcPr>
          <w:p>
            <w:pPr>
              <w:jc w:val="center"/>
              <w:ind w:right="4088"/>
              <w:spacing w:after="0"/>
              <w:rPr>
                <w:sz w:val="20"/>
                <w:szCs w:val="20"/>
                <w:color w:val="auto"/>
              </w:rPr>
            </w:pPr>
            <w:r>
              <w:rPr>
                <w:rFonts w:ascii="Arial" w:cs="Arial" w:eastAsia="Arial" w:hAnsi="Arial"/>
                <w:sz w:val="14"/>
                <w:szCs w:val="14"/>
                <w:color w:val="auto"/>
              </w:rPr>
              <w:t>Shares</w:t>
            </w:r>
          </w:p>
        </w:tc>
        <w:tc>
          <w:tcPr>
            <w:tcW w:w="2860" w:type="dxa"/>
            <w:vAlign w:val="bottom"/>
            <w:gridSpan w:val="3"/>
            <w:vMerge w:val="restart"/>
          </w:tcPr>
          <w:p>
            <w:pPr>
              <w:jc w:val="center"/>
              <w:ind w:left="1868"/>
              <w:spacing w:after="0"/>
              <w:rPr>
                <w:sz w:val="20"/>
                <w:szCs w:val="20"/>
                <w:color w:val="auto"/>
              </w:rPr>
            </w:pPr>
            <w:r>
              <w:rPr>
                <w:rFonts w:ascii="Arial" w:cs="Arial" w:eastAsia="Arial" w:hAnsi="Arial"/>
                <w:sz w:val="14"/>
                <w:szCs w:val="14"/>
                <w:b w:val="1"/>
                <w:bCs w:val="1"/>
                <w:color w:val="auto"/>
                <w:w w:val="99"/>
              </w:rPr>
              <w:t>50%</w:t>
            </w:r>
          </w:p>
        </w:tc>
        <w:tc>
          <w:tcPr>
            <w:tcW w:w="0" w:type="dxa"/>
            <w:vAlign w:val="bottom"/>
          </w:tcPr>
          <w:p>
            <w:pPr>
              <w:spacing w:after="0"/>
              <w:rPr>
                <w:sz w:val="1"/>
                <w:szCs w:val="1"/>
                <w:color w:val="auto"/>
              </w:rPr>
            </w:pPr>
          </w:p>
        </w:tc>
      </w:tr>
      <w:tr>
        <w:trPr>
          <w:trHeight w:val="144"/>
        </w:trPr>
        <w:tc>
          <w:tcPr>
            <w:tcW w:w="1080" w:type="dxa"/>
            <w:vAlign w:val="bottom"/>
          </w:tcPr>
          <w:p>
            <w:pPr>
              <w:jc w:val="center"/>
              <w:spacing w:after="0" w:line="145" w:lineRule="exact"/>
              <w:rPr>
                <w:sz w:val="20"/>
                <w:szCs w:val="20"/>
                <w:color w:val="auto"/>
              </w:rPr>
            </w:pPr>
            <w:r>
              <w:rPr>
                <w:rFonts w:ascii="Arial" w:cs="Arial" w:eastAsia="Arial" w:hAnsi="Arial"/>
                <w:sz w:val="14"/>
                <w:szCs w:val="14"/>
                <w:color w:val="auto"/>
              </w:rPr>
              <w:t>Benchmark:</w:t>
            </w:r>
          </w:p>
        </w:tc>
        <w:tc>
          <w:tcPr>
            <w:tcW w:w="4820" w:type="dxa"/>
            <w:vAlign w:val="bottom"/>
            <w:gridSpan w:val="2"/>
            <w:vMerge w:val="continue"/>
          </w:tcPr>
          <w:p>
            <w:pPr>
              <w:spacing w:after="0"/>
              <w:rPr>
                <w:sz w:val="12"/>
                <w:szCs w:val="12"/>
                <w:color w:val="auto"/>
              </w:rPr>
            </w:pPr>
          </w:p>
        </w:tc>
        <w:tc>
          <w:tcPr>
            <w:tcW w:w="2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S&amp;P 500</w:t>
            </w:r>
          </w:p>
        </w:tc>
        <w:tc>
          <w:tcPr>
            <w:tcW w:w="4820" w:type="dxa"/>
            <w:vAlign w:val="bottom"/>
            <w:gridSpan w:val="2"/>
          </w:tcPr>
          <w:p>
            <w:pPr>
              <w:jc w:val="center"/>
              <w:ind w:right="4088"/>
              <w:spacing w:after="0"/>
              <w:rPr>
                <w:sz w:val="20"/>
                <w:szCs w:val="20"/>
                <w:color w:val="auto"/>
              </w:rPr>
            </w:pPr>
            <w:r>
              <w:rPr>
                <w:rFonts w:ascii="Arial" w:cs="Arial" w:eastAsia="Arial" w:hAnsi="Arial"/>
                <w:sz w:val="14"/>
                <w:szCs w:val="14"/>
                <w:color w:val="auto"/>
              </w:rPr>
              <w:t>Earned</w:t>
            </w: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0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Stock Ownership Guidelines</w:t>
      </w:r>
    </w:p>
    <w:p>
      <w:pPr>
        <w:spacing w:after="0" w:line="114" w:lineRule="exact"/>
        <w:rPr>
          <w:sz w:val="20"/>
          <w:szCs w:val="20"/>
          <w:color w:val="auto"/>
        </w:rPr>
      </w:pPr>
    </w:p>
    <w:p>
      <w:pPr>
        <w:ind w:left="140" w:right="219"/>
        <w:spacing w:after="0" w:line="279" w:lineRule="auto"/>
        <w:rPr>
          <w:sz w:val="20"/>
          <w:szCs w:val="20"/>
          <w:color w:val="auto"/>
        </w:rPr>
      </w:pPr>
      <w:r>
        <w:rPr>
          <w:rFonts w:ascii="Arial" w:cs="Arial" w:eastAsia="Arial" w:hAnsi="Arial"/>
          <w:sz w:val="16"/>
          <w:szCs w:val="16"/>
          <w:color w:val="auto"/>
        </w:rPr>
        <w:t>We have formal stock ownership guidelines for all executive officers, including our NEOs, and members of our Board, to require these individuals to hold a multiple of their base salary (or annual retainer in the case of our directors) in our common stock. Our stock ownership guidelines are set above the market standard to encourage a meaningful stake in the Company and to preserve alignment with shareholders. Under our stock ownership guidelines, only fully vested shares and shares that have been deferred under our Board equity deferral plan, but would have otherwise vested, are counted toward meeting the stock ownership guidelines. In addition, executive officers must hold 50% of all equity awards from the date of vesting until such time as the officer’s total equity holdings satisfy the stock ownership guidelines. Each new executive officer and director has four years to meet the guidelines.</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guidelines are as follows: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Position</w:t>
            </w:r>
          </w:p>
        </w:tc>
        <w:tc>
          <w:tcPr>
            <w:tcW w:w="5160" w:type="dxa"/>
            <w:vAlign w:val="bottom"/>
            <w:tcBorders>
              <w:bottom w:val="single" w:sz="8" w:color="431C5B"/>
            </w:tcBorders>
          </w:tcPr>
          <w:p>
            <w:pPr>
              <w:ind w:left="840"/>
              <w:spacing w:after="0"/>
              <w:rPr>
                <w:sz w:val="20"/>
                <w:szCs w:val="20"/>
                <w:color w:val="auto"/>
              </w:rPr>
            </w:pPr>
            <w:r>
              <w:rPr>
                <w:rFonts w:ascii="Arial" w:cs="Arial" w:eastAsia="Arial" w:hAnsi="Arial"/>
                <w:sz w:val="14"/>
                <w:szCs w:val="14"/>
                <w:b w:val="1"/>
                <w:bCs w:val="1"/>
                <w:color w:val="431C5B"/>
              </w:rPr>
              <w:t>Minimum Aggregate Stock Ownership Target</w:t>
            </w:r>
          </w:p>
        </w:tc>
      </w:tr>
      <w:tr>
        <w:trPr>
          <w:trHeight w:val="235"/>
        </w:trPr>
        <w:tc>
          <w:tcPr>
            <w:tcW w:w="360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color w:val="auto"/>
              </w:rPr>
              <w:t>Chief Executive Officer and President</w:t>
            </w:r>
          </w:p>
        </w:tc>
        <w:tc>
          <w:tcPr>
            <w:tcW w:w="5160" w:type="dxa"/>
            <w:vAlign w:val="bottom"/>
            <w:tcBorders>
              <w:bottom w:val="single" w:sz="8" w:color="E6E6E6"/>
            </w:tcBorders>
            <w:shd w:val="clear" w:color="auto" w:fill="EEFAEC"/>
          </w:tcPr>
          <w:p>
            <w:pPr>
              <w:ind w:left="840"/>
              <w:spacing w:after="0"/>
              <w:rPr>
                <w:sz w:val="20"/>
                <w:szCs w:val="20"/>
                <w:color w:val="auto"/>
              </w:rPr>
            </w:pPr>
            <w:r>
              <w:rPr>
                <w:rFonts w:ascii="Arial" w:cs="Arial" w:eastAsia="Arial" w:hAnsi="Arial"/>
                <w:sz w:val="16"/>
                <w:szCs w:val="16"/>
                <w:color w:val="auto"/>
              </w:rPr>
              <w:t>10x base salary</w:t>
            </w:r>
          </w:p>
        </w:tc>
      </w:tr>
      <w:tr>
        <w:trPr>
          <w:trHeight w:val="237"/>
        </w:trPr>
        <w:tc>
          <w:tcPr>
            <w:tcW w:w="360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Chief Financial Officer</w:t>
            </w:r>
          </w:p>
        </w:tc>
        <w:tc>
          <w:tcPr>
            <w:tcW w:w="5160" w:type="dxa"/>
            <w:vAlign w:val="bottom"/>
            <w:tcBorders>
              <w:bottom w:val="single" w:sz="8" w:color="E6E6E6"/>
            </w:tcBorders>
          </w:tcPr>
          <w:p>
            <w:pPr>
              <w:ind w:left="840"/>
              <w:spacing w:after="0"/>
              <w:rPr>
                <w:sz w:val="20"/>
                <w:szCs w:val="20"/>
                <w:color w:val="auto"/>
              </w:rPr>
            </w:pPr>
            <w:r>
              <w:rPr>
                <w:rFonts w:ascii="Arial" w:cs="Arial" w:eastAsia="Arial" w:hAnsi="Arial"/>
                <w:sz w:val="16"/>
                <w:szCs w:val="16"/>
                <w:color w:val="auto"/>
              </w:rPr>
              <w:t>3x base salary</w:t>
            </w:r>
          </w:p>
        </w:tc>
      </w:tr>
      <w:tr>
        <w:trPr>
          <w:trHeight w:val="236"/>
        </w:trPr>
        <w:tc>
          <w:tcPr>
            <w:tcW w:w="360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color w:val="auto"/>
              </w:rPr>
              <w:t>All Other Executive Officers</w:t>
            </w:r>
          </w:p>
        </w:tc>
        <w:tc>
          <w:tcPr>
            <w:tcW w:w="5160" w:type="dxa"/>
            <w:vAlign w:val="bottom"/>
            <w:tcBorders>
              <w:bottom w:val="single" w:sz="8" w:color="E6E6E6"/>
            </w:tcBorders>
            <w:shd w:val="clear" w:color="auto" w:fill="EEFAEC"/>
          </w:tcPr>
          <w:p>
            <w:pPr>
              <w:ind w:left="840"/>
              <w:spacing w:after="0"/>
              <w:rPr>
                <w:sz w:val="20"/>
                <w:szCs w:val="20"/>
                <w:color w:val="auto"/>
              </w:rPr>
            </w:pPr>
            <w:r>
              <w:rPr>
                <w:rFonts w:ascii="Arial" w:cs="Arial" w:eastAsia="Arial" w:hAnsi="Arial"/>
                <w:sz w:val="16"/>
                <w:szCs w:val="16"/>
                <w:color w:val="auto"/>
              </w:rPr>
              <w:t>2x base salary</w:t>
            </w:r>
          </w:p>
        </w:tc>
      </w:tr>
      <w:tr>
        <w:trPr>
          <w:trHeight w:val="236"/>
        </w:trPr>
        <w:tc>
          <w:tcPr>
            <w:tcW w:w="3600" w:type="dxa"/>
            <w:vAlign w:val="bottom"/>
            <w:tcBorders>
              <w:bottom w:val="single" w:sz="8" w:color="431C5B"/>
            </w:tcBorders>
          </w:tcPr>
          <w:p>
            <w:pPr>
              <w:ind w:left="80"/>
              <w:spacing w:after="0"/>
              <w:rPr>
                <w:sz w:val="20"/>
                <w:szCs w:val="20"/>
                <w:color w:val="auto"/>
              </w:rPr>
            </w:pPr>
            <w:r>
              <w:rPr>
                <w:rFonts w:ascii="Arial" w:cs="Arial" w:eastAsia="Arial" w:hAnsi="Arial"/>
                <w:sz w:val="16"/>
                <w:szCs w:val="16"/>
                <w:color w:val="auto"/>
              </w:rPr>
              <w:t>Members of the Board</w:t>
            </w:r>
          </w:p>
        </w:tc>
        <w:tc>
          <w:tcPr>
            <w:tcW w:w="5160" w:type="dxa"/>
            <w:vAlign w:val="bottom"/>
            <w:tcBorders>
              <w:bottom w:val="single" w:sz="8" w:color="431C5B"/>
            </w:tcBorders>
          </w:tcPr>
          <w:p>
            <w:pPr>
              <w:ind w:left="840"/>
              <w:spacing w:after="0"/>
              <w:rPr>
                <w:sz w:val="20"/>
                <w:szCs w:val="20"/>
                <w:color w:val="auto"/>
              </w:rPr>
            </w:pPr>
            <w:r>
              <w:rPr>
                <w:rFonts w:ascii="Arial" w:cs="Arial" w:eastAsia="Arial" w:hAnsi="Arial"/>
                <w:sz w:val="16"/>
                <w:szCs w:val="16"/>
                <w:color w:val="auto"/>
              </w:rPr>
              <w:t>5x annual cash retainer</w:t>
            </w:r>
          </w:p>
        </w:tc>
      </w:tr>
    </w:tbl>
    <w:p>
      <w:pPr>
        <w:spacing w:after="0" w:line="188" w:lineRule="exact"/>
        <w:rPr>
          <w:sz w:val="20"/>
          <w:szCs w:val="20"/>
          <w:color w:val="auto"/>
        </w:rPr>
      </w:pPr>
    </w:p>
    <w:p>
      <w:pPr>
        <w:ind w:left="140" w:right="459"/>
        <w:spacing w:after="0" w:line="321" w:lineRule="auto"/>
        <w:rPr>
          <w:sz w:val="20"/>
          <w:szCs w:val="20"/>
          <w:color w:val="auto"/>
        </w:rPr>
      </w:pPr>
      <w:r>
        <w:rPr>
          <w:rFonts w:ascii="Arial" w:cs="Arial" w:eastAsia="Arial" w:hAnsi="Arial"/>
          <w:sz w:val="16"/>
          <w:szCs w:val="16"/>
          <w:color w:val="auto"/>
        </w:rPr>
        <w:t>Each of our executive officers and each member of our Board met the stock ownership guidelines as of December 31, 2025 or were in the four-year transition period to satisfy the stock ownership guidelines.</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Hedging and Pledging Policy</w:t>
      </w:r>
    </w:p>
    <w:p>
      <w:pPr>
        <w:spacing w:after="0" w:line="114"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Our Board has adopted a hedging and pledging policy that prohibits our executive officers and directors from engaging in hedging or monetization transactions with respect to our securities, engaging in short-term or speculative transactions in our securities that could create heightened legal risk and/or the appearance of improper or inappropriate conduct, or pledging them as collateral for loans. This policy prohibits directors and executive officers from purchasing securities or other financial instruments, or otherwise engaging in transactions, that hedge or offset, or are designed to hedge or offset, any decrease in the market value of equity securities granted as compensation, or held directly or indirectly by the executive officer or director. None of our shares held by our current directors and executive officers has been hedged or pledged.</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67</w:t>
      </w:r>
    </w:p>
    <w:p>
      <w:pPr>
        <w:sectPr>
          <w:pgSz w:w="11900" w:h="16838" w:orient="portrait"/>
          <w:cols w:equalWidth="0" w:num="1">
            <w:col w:w="9019"/>
          </w:cols>
          <w:pgMar w:left="1440" w:top="657" w:right="1440" w:bottom="1440" w:gutter="0" w:footer="0" w:header="0"/>
          <w:type w:val="continuous"/>
        </w:sectPr>
      </w:pPr>
    </w:p>
    <w:bookmarkStart w:id="70" w:name="page71"/>
    <w:bookmarkEnd w:id="70"/>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391"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Clawback Policy</w:t>
      </w:r>
    </w:p>
    <w:p>
      <w:pPr>
        <w:spacing w:after="0" w:line="114" w:lineRule="exact"/>
        <w:rPr>
          <w:sz w:val="20"/>
          <w:szCs w:val="20"/>
          <w:color w:val="auto"/>
        </w:rPr>
      </w:pPr>
    </w:p>
    <w:p>
      <w:pPr>
        <w:ind w:left="140" w:right="199"/>
        <w:spacing w:after="0" w:line="280" w:lineRule="auto"/>
        <w:rPr>
          <w:sz w:val="20"/>
          <w:szCs w:val="20"/>
          <w:color w:val="auto"/>
        </w:rPr>
      </w:pPr>
      <w:r>
        <w:rPr>
          <w:rFonts w:ascii="Arial" w:cs="Arial" w:eastAsia="Arial" w:hAnsi="Arial"/>
          <w:sz w:val="16"/>
          <w:szCs w:val="16"/>
          <w:color w:val="auto"/>
        </w:rPr>
        <w:t>The Company maintains a clawback policy to recover cash and equity incentive-based compensation from our executive officers if we are required to prepare an accounting restatement due to material noncompliance with financial reporting requirements, including an act of fraud or willful misconduct that caused the need for an accounting restatement, and the incentive-based compensation paid during the preceding three-year period would have been lower had the compensation been based on the restated financial results. In addition, since 2023 the Company has maintained a separate clawback policy to comply with the NYSE rules issued that year to implement the compensation recovery requirements under the Dodd-Frank Wall Street Reform and Consumer Protection Act. In addition to these policies, our annual cash incentive program gives our Compensation Committee complete discretion to reduce or eliminate annual incentives that have not yet been paid. There were no clawbacks in 2025.</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Securities Trading Policy</w:t>
      </w:r>
    </w:p>
    <w:p>
      <w:pPr>
        <w:spacing w:after="0" w:line="114" w:lineRule="exact"/>
        <w:rPr>
          <w:sz w:val="20"/>
          <w:szCs w:val="20"/>
          <w:color w:val="auto"/>
        </w:rPr>
      </w:pPr>
    </w:p>
    <w:p>
      <w:pPr>
        <w:ind w:left="140" w:right="159"/>
        <w:spacing w:after="0" w:line="278" w:lineRule="auto"/>
        <w:rPr>
          <w:sz w:val="20"/>
          <w:szCs w:val="20"/>
          <w:color w:val="auto"/>
        </w:rPr>
      </w:pPr>
      <w:r>
        <w:rPr>
          <w:rFonts w:ascii="Arial" w:cs="Arial" w:eastAsia="Arial" w:hAnsi="Arial"/>
          <w:sz w:val="16"/>
          <w:szCs w:val="16"/>
          <w:color w:val="auto"/>
        </w:rPr>
        <w:t>Our securities trading policy, adopted by our Board (the “Securities Trading Policy”), governs the purchase, sale and other dispositions of Company securities by our directors, officers and other team members, and is designed to promote compliance with insider trading laws, rules and regulations and any NYSE listing standards applicable to us. The Securities Trading Policy prohibits our directors, officers and other team members from trading in Company securities while in possession of material, non-public information. In addition, the Securities Trading Policy prohibits our directors, officers and certain covered persons (e.g., finance and accounting, audit and legal team members) from trading in Company securities during certain blackout periods and requires such persons to obtain pre-clearance from the Chief Legal Officer prior to any purchase or sale of Company securities. The foregoing summary of the Securities Trading Policy does not purport to be complete and is qualified by reference to the Securities Trading Policy, a copy of which was filed as Exhibit 19.1 to the Company’s Annual Report on Form 10-K for the fiscal year ended December 31, 2024. In addition, with regard to the Company’s trading in its own securities, it is the Company’s policy to comply with the federal securities laws and any applicable NYSE listing standards.</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Equity Grant Procedures</w:t>
      </w:r>
    </w:p>
    <w:p>
      <w:pPr>
        <w:spacing w:after="0" w:line="114" w:lineRule="exact"/>
        <w:rPr>
          <w:sz w:val="20"/>
          <w:szCs w:val="20"/>
          <w:color w:val="auto"/>
        </w:rPr>
      </w:pPr>
    </w:p>
    <w:p>
      <w:pPr>
        <w:ind w:left="140" w:right="159"/>
        <w:spacing w:after="0" w:line="282" w:lineRule="auto"/>
        <w:rPr>
          <w:sz w:val="20"/>
          <w:szCs w:val="20"/>
          <w:color w:val="auto"/>
        </w:rPr>
      </w:pPr>
      <w:r>
        <w:rPr>
          <w:rFonts w:ascii="Arial" w:cs="Arial" w:eastAsia="Arial" w:hAnsi="Arial"/>
          <w:sz w:val="16"/>
          <w:szCs w:val="16"/>
          <w:color w:val="auto"/>
        </w:rPr>
        <w:t>The following information is being provided as required by Item 402(x) of Regulation S-K. We do not grant equity awards in anticipation of the release of material, non-public information. Similarly, we do not time the release of material, non-public information based on equity grant dates for the purpose of affecting the value of any award granted to a NEO. We also do not take material, non-public information into account when determining the timing and terms of the equity grants. We generally grant annual equity awards to our executives in the first quarter of each year during our open trading window following the release of our prior year results. We generally grant annual equity awards to our non-employee directors following the annual meeting. During 2025, none of our NEOs was granted any stock options to purchase shares of our common stock.</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401(k) Plan</w:t>
      </w:r>
    </w:p>
    <w:p>
      <w:pPr>
        <w:spacing w:after="0" w:line="114" w:lineRule="exact"/>
        <w:rPr>
          <w:sz w:val="20"/>
          <w:szCs w:val="20"/>
          <w:color w:val="auto"/>
        </w:rPr>
      </w:pPr>
    </w:p>
    <w:p>
      <w:pPr>
        <w:ind w:left="140" w:right="119"/>
        <w:spacing w:after="0" w:line="280" w:lineRule="auto"/>
        <w:rPr>
          <w:sz w:val="20"/>
          <w:szCs w:val="20"/>
          <w:color w:val="auto"/>
        </w:rPr>
      </w:pPr>
      <w:r>
        <w:rPr>
          <w:rFonts w:ascii="Arial" w:cs="Arial" w:eastAsia="Arial" w:hAnsi="Arial"/>
          <w:sz w:val="16"/>
          <w:szCs w:val="16"/>
          <w:color w:val="auto"/>
        </w:rPr>
        <w:t>We sponsor a defined contribution savings plan that is intended to be qualified under Section 401(a) of the Internal Revenue Code. The plan contains a cash or deferred arrangement under Section 401(k) of the Internal Revenue Code. Participating employees may contribute up to 40% (highly compensated employees are limited to 15%) of their eligible compensation, but not more than statutory limits (generally $23,500 in 2025). We contribute an amount equal to 50% of each participant’s voluntary contributions under the plan, up to a maximum of 6% of eligible compensation (up to $10,500 in 2025) for each participant. Participants may direct the trustee to invest funds in any investment option available under the plan. A participant may receive the value of their vested account balance upon termination of employment. FIS stock is not an investment option available under the plan. A participant is always 100% vested in their voluntary contributions. Vesting in matching contributions occurs on a pro rata basis over an employee’s first three years of employment with the Company. We do not offer pensions or supplemental executive retirement plans for our NEOs.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hanging="429"/>
        <w:spacing w:after="0"/>
        <w:tabs>
          <w:tab w:leader="none" w:pos="620" w:val="left"/>
        </w:tabs>
        <w:numPr>
          <w:ilvl w:val="0"/>
          <w:numId w:val="95"/>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71" w:name="page72"/>
    <w:bookmarkEnd w:id="71"/>
    <w:p>
      <w:pPr>
        <w:ind w:left="6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391"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Qualified Retirement Equity Program</w:t>
      </w:r>
    </w:p>
    <w:p>
      <w:pPr>
        <w:spacing w:after="0" w:line="114" w:lineRule="exact"/>
        <w:rPr>
          <w:sz w:val="20"/>
          <w:szCs w:val="20"/>
          <w:color w:val="auto"/>
        </w:rPr>
      </w:pPr>
    </w:p>
    <w:p>
      <w:pPr>
        <w:ind w:left="140" w:right="239"/>
        <w:spacing w:after="0" w:line="280" w:lineRule="auto"/>
        <w:rPr>
          <w:sz w:val="20"/>
          <w:szCs w:val="20"/>
          <w:color w:val="auto"/>
        </w:rPr>
      </w:pPr>
      <w:r>
        <w:rPr>
          <w:rFonts w:ascii="Arial" w:cs="Arial" w:eastAsia="Arial" w:hAnsi="Arial"/>
          <w:sz w:val="16"/>
          <w:szCs w:val="16"/>
          <w:color w:val="auto"/>
        </w:rPr>
        <w:t>In 2021, the Company established a Qualified Retirement Equity Program (the “Program”) to facilitate an orderly succession for long-tenured employees across all levels of the Company, including increased notice periods, and to reduce the ability for qualifying retirees to compete against the Company or solicit FIS employees after termination. The Program is a benefit available to holders of Company equity awards and participants in the ESPP (as defined and described below) who, in each case, satisfy certain eligibility and notice requirements. Effective January 30, 2024, the Company amended and restated the Program. As in effect on December 31, 2025, the Program provides for (i) pro rata vesting of certain qualifying unvested equity awards and continued receipt of the Company ESPP match under the ESPP following retirement for participants who meet certain eligibility requirements, and (ii) continued vesting of certain qualifying unvested equity awards and continued receipt of the Company ESPP match under the ESPP following retirement for participants who meet more rigorous eligibility requirements.</w:t>
      </w:r>
    </w:p>
    <w:p>
      <w:pPr>
        <w:spacing w:after="0" w:line="122" w:lineRule="exact"/>
        <w:rPr>
          <w:sz w:val="20"/>
          <w:szCs w:val="20"/>
          <w:color w:val="auto"/>
        </w:rPr>
      </w:pPr>
    </w:p>
    <w:p>
      <w:pPr>
        <w:ind w:left="140" w:right="139"/>
        <w:spacing w:after="0" w:line="278" w:lineRule="auto"/>
        <w:rPr>
          <w:sz w:val="20"/>
          <w:szCs w:val="20"/>
          <w:color w:val="auto"/>
        </w:rPr>
      </w:pPr>
      <w:r>
        <w:rPr>
          <w:rFonts w:ascii="Arial" w:cs="Arial" w:eastAsia="Arial" w:hAnsi="Arial"/>
          <w:sz w:val="16"/>
          <w:szCs w:val="16"/>
          <w:color w:val="auto"/>
        </w:rPr>
        <w:t>Under the Program, as in effect on December 31, 2025, upon providing the proper advance written notice of their intent to retire, a pro rata portion (based on the portion of the vesting period worked) of an eligible participant’s eligible unvested equity awards will not be forfeited upon a Qualified Early Retirement, but will vest in accordance with the terms of their respective grant agreements, contingent upon continued compliance with the restrictive covenants in the grant agreements and execution of a release of claims. Similarly, upon providing the proper advance written notice of their intent to retire, eligible participants in the ESPP who meet the criteria for a Qualified Early Retirement will continue to vest and receive the quarterly Company ESPP match under the ESPP following a Qualified Early Retirement for all ESPP contributions previously made by the eligible participant in the final 12-month period of the participant’s employment. A “Qualified Early Retirement” means an employee who has accumulated a minimum of 65 points based upon age plus years of service (one point per year, measured in whole years). Generally, the minimum age for a Qualified Early Retirement is 55 years old, and the minimum years of service is 5 years.</w:t>
      </w:r>
    </w:p>
    <w:p>
      <w:pPr>
        <w:spacing w:after="0" w:line="140" w:lineRule="exact"/>
        <w:rPr>
          <w:sz w:val="20"/>
          <w:szCs w:val="20"/>
          <w:color w:val="auto"/>
        </w:rPr>
      </w:pPr>
    </w:p>
    <w:p>
      <w:pPr>
        <w:ind w:left="140" w:right="139"/>
        <w:spacing w:after="0" w:line="275" w:lineRule="auto"/>
        <w:rPr>
          <w:sz w:val="20"/>
          <w:szCs w:val="20"/>
          <w:color w:val="auto"/>
        </w:rPr>
      </w:pPr>
      <w:r>
        <w:rPr>
          <w:rFonts w:ascii="Arial" w:cs="Arial" w:eastAsia="Arial" w:hAnsi="Arial"/>
          <w:sz w:val="16"/>
          <w:szCs w:val="16"/>
          <w:color w:val="auto"/>
        </w:rPr>
        <w:t>Under the Program as in effect on December 31, 2025, upon providing the proper advance written notice of their intent to retire, an eligible participant’s eligible unvested equity awards will not be forfeited upon a Qualified Full Retirement, but will continue to vest in accordance with the terms of their respective grant agreements, contingent upon continued compliance with the restrictive covenants in the grant agreements and execution of a release of claims. Similarly, upon providing the proper advance written notice of their intent to retire, eligible participants in the ESPP who meet the criteria for a Qualified Full Retirement will continue to vest and receive the quarterly Company ESPP match under the ESPP following a Qualified Full Retirement for all ESPP contributions previously made by the eligible participant in the final 12-month period of the participant’s employment. A “Qualified Full Retirement” means an employee who has accumulated a minimum of</w:t>
      </w:r>
    </w:p>
    <w:p>
      <w:pPr>
        <w:spacing w:after="0" w:line="1" w:lineRule="exact"/>
        <w:rPr>
          <w:sz w:val="20"/>
          <w:szCs w:val="20"/>
          <w:color w:val="auto"/>
        </w:rPr>
      </w:pPr>
    </w:p>
    <w:p>
      <w:pPr>
        <w:ind w:left="140" w:right="379"/>
        <w:spacing w:after="0" w:line="304" w:lineRule="auto"/>
        <w:rPr>
          <w:sz w:val="20"/>
          <w:szCs w:val="20"/>
          <w:color w:val="auto"/>
        </w:rPr>
      </w:pPr>
      <w:r>
        <w:rPr>
          <w:rFonts w:ascii="Arial" w:cs="Arial" w:eastAsia="Arial" w:hAnsi="Arial"/>
          <w:sz w:val="16"/>
          <w:szCs w:val="16"/>
          <w:color w:val="auto"/>
        </w:rPr>
        <w:t>75 points based upon age plus years of service (one point per year, measured in whole years). Generally, the minimum age for a Qualified Full Retirement is 60 years old, and the minimum years of service is 15 years.</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Deferred Compensation Plan</w:t>
      </w:r>
    </w:p>
    <w:p>
      <w:pPr>
        <w:spacing w:after="0" w:line="114" w:lineRule="exact"/>
        <w:rPr>
          <w:sz w:val="20"/>
          <w:szCs w:val="20"/>
          <w:color w:val="auto"/>
        </w:rPr>
      </w:pPr>
    </w:p>
    <w:p>
      <w:pPr>
        <w:ind w:left="140" w:right="679"/>
        <w:spacing w:after="0" w:line="289" w:lineRule="auto"/>
        <w:rPr>
          <w:sz w:val="20"/>
          <w:szCs w:val="20"/>
          <w:color w:val="auto"/>
        </w:rPr>
      </w:pPr>
      <w:r>
        <w:rPr>
          <w:rFonts w:ascii="Arial" w:cs="Arial" w:eastAsia="Arial" w:hAnsi="Arial"/>
          <w:sz w:val="16"/>
          <w:szCs w:val="16"/>
          <w:color w:val="auto"/>
        </w:rPr>
        <w:t>We provide our U.S.-based NEOs, as well as other key employees, with the opportunity to defer receipt of their compensation under a non-qualified deferred compensation plan. Participants may elect to defer up to 65% of their base salary and 75% of bonuses and/or commissions on a pre-tax basis. A description of the plan and information regarding our NEOs’ interests under the plan can be found under "2025 Nonqualified Deferred Compensation.”</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Executive Severance Plan</w:t>
      </w:r>
    </w:p>
    <w:p>
      <w:pPr>
        <w:spacing w:after="0" w:line="114" w:lineRule="exact"/>
        <w:rPr>
          <w:sz w:val="20"/>
          <w:szCs w:val="20"/>
          <w:color w:val="auto"/>
        </w:rPr>
      </w:pPr>
    </w:p>
    <w:p>
      <w:pPr>
        <w:ind w:left="140" w:right="139"/>
        <w:spacing w:after="0" w:line="282" w:lineRule="auto"/>
        <w:rPr>
          <w:sz w:val="20"/>
          <w:szCs w:val="20"/>
          <w:color w:val="auto"/>
        </w:rPr>
      </w:pPr>
      <w:r>
        <w:rPr>
          <w:rFonts w:ascii="Arial" w:cs="Arial" w:eastAsia="Arial" w:hAnsi="Arial"/>
          <w:sz w:val="16"/>
          <w:szCs w:val="16"/>
          <w:color w:val="auto"/>
        </w:rPr>
        <w:t>The Company adopted the Fidelity National Information Services, Inc. U.S. Executive Severance Plan (the “Severance Plan”) effective as of September 1, 2024, to provide severance protection to certain executive officers and other key employees of the Company (or its affiliate) who are designated as participants by written notice pursuant to the Severance Plan (the “Participants”). For an executive officer of the Company to be a Participant, the Severance Plan requires designation by our Board or the Compensation Committee. The Severance Plan will continue until terminated in accordance with the provisions of the Severance Plan, subject to certain limitations set forth therein.</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69</w:t>
      </w:r>
    </w:p>
    <w:p>
      <w:pPr>
        <w:sectPr>
          <w:pgSz w:w="11900" w:h="16838" w:orient="portrait"/>
          <w:cols w:equalWidth="0" w:num="1">
            <w:col w:w="9019"/>
          </w:cols>
          <w:pgMar w:left="1440" w:top="657" w:right="1440" w:bottom="1440" w:gutter="0" w:footer="0" w:header="0"/>
          <w:type w:val="continuous"/>
        </w:sectPr>
      </w:pPr>
    </w:p>
    <w:bookmarkStart w:id="72" w:name="page73"/>
    <w:bookmarkEnd w:id="72"/>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15" w:lineRule="exact"/>
        <w:rPr>
          <w:sz w:val="20"/>
          <w:szCs w:val="20"/>
          <w:color w:val="auto"/>
        </w:rPr>
      </w:pPr>
    </w:p>
    <w:p>
      <w:pPr>
        <w:ind w:left="140" w:right="239"/>
        <w:spacing w:after="0" w:line="275" w:lineRule="auto"/>
        <w:rPr>
          <w:sz w:val="20"/>
          <w:szCs w:val="20"/>
          <w:color w:val="auto"/>
        </w:rPr>
      </w:pPr>
      <w:r>
        <w:rPr>
          <w:rFonts w:ascii="Arial" w:cs="Arial" w:eastAsia="Arial" w:hAnsi="Arial"/>
          <w:sz w:val="16"/>
          <w:szCs w:val="16"/>
          <w:color w:val="auto"/>
        </w:rPr>
        <w:t>Pursuant to the Severance Plan, in the event of a “Qualifying Termination” (as defined in the Severance Plan), subject to the Company’s receipt of an effective release of claims from the Participant, a Participant who is an executive officer would be entitled to receive: (i) a lump sum severance payment equal to one times (1x) the sum of their base salary and target annual incentive compensation for the fiscal year in which the termination occurs (or two times (2x) such sum (a) if the termination occurs within three months before, or 24 months after, a “Change in Control” (as defined in the Company’s 2022 Omnibus Incentive Plan) (the “Change in Control Protection Period”) or (b) in the case of a Participant who is the Company’s Chief Executive Officer (a “CEO Participant”)); (ii) a pro-rated annual incentive compensation plan payout for the fiscal year in which the termination occurs, based on actual performance for the entire fiscal year (but not subject to any discretion related to individual performance goals), prorated for the number of full months worked (or a pro-rated target annual incentive compensation plan payout for the fiscal year in which the termination occurs, prorated for the number of full months worked, if the termination occurs during the Change in Control Protection Period); (iii) to the extent unpaid, any annual incentive compensation payable for the fiscal year preceding the date of the termination; and</w:t>
      </w:r>
    </w:p>
    <w:p>
      <w:pPr>
        <w:spacing w:after="0" w:line="7" w:lineRule="exact"/>
        <w:rPr>
          <w:sz w:val="20"/>
          <w:szCs w:val="20"/>
          <w:color w:val="auto"/>
        </w:rPr>
      </w:pPr>
    </w:p>
    <w:p>
      <w:pPr>
        <w:ind w:left="140" w:right="219" w:hanging="10"/>
        <w:spacing w:after="0" w:line="278" w:lineRule="auto"/>
        <w:tabs>
          <w:tab w:leader="none" w:pos="41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lump sum cash payment equal to 12 months of medical and dental COBRA premiums (or 18 months of such premiums (a) if the termination occurs during the Change in Control Protection Period or (b) in the case of a CEO Participant). For Participants other than a CEO Participant (such Participants, “Executive Officer Participants”), however, in the event of a termination of their employment by the Company directly related to work performance (“Performance Termination”) outside the Change in Control Protection Period, subject to the Company’s receipt of an effective release of claims from such Executive Officer Participant, severance benefits under the Severance Plan will consist of (x) a severance payment equal to one-half times (.5x) their base salary, (y) a lump sum cash payment equal to six months of medical and dental COBRA premiums, and (z) any earned but unpaid annual bonus payments relating to the prior calendar year. In establishing the benefits payable under the Severance Plan, the Compensation Committee considered the findings of a survey of market practice for similar plans performed by its independent compensation consultant.</w:t>
      </w:r>
    </w:p>
    <w:p>
      <w:pPr>
        <w:spacing w:after="0" w:line="125" w:lineRule="exact"/>
        <w:rPr>
          <w:sz w:val="20"/>
          <w:szCs w:val="20"/>
          <w:color w:val="auto"/>
        </w:rPr>
      </w:pPr>
    </w:p>
    <w:p>
      <w:pPr>
        <w:ind w:left="140" w:right="139"/>
        <w:spacing w:after="0" w:line="292" w:lineRule="auto"/>
        <w:rPr>
          <w:sz w:val="20"/>
          <w:szCs w:val="20"/>
          <w:color w:val="auto"/>
        </w:rPr>
      </w:pPr>
      <w:r>
        <w:rPr>
          <w:rFonts w:ascii="Arial" w:cs="Arial" w:eastAsia="Arial" w:hAnsi="Arial"/>
          <w:sz w:val="16"/>
          <w:szCs w:val="16"/>
          <w:color w:val="auto"/>
        </w:rPr>
        <w:t>The severance benefits under the Severance Plan are subject to the Participant’s compliance with certain non-competition and non-solicitation obligations during the Participant’s employment and one year thereafter and confidentiality and non-disparagement obligations.</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Employee Stock Purchase Plan</w:t>
      </w:r>
    </w:p>
    <w:p>
      <w:pPr>
        <w:spacing w:after="0" w:line="114" w:lineRule="exact"/>
        <w:rPr>
          <w:sz w:val="20"/>
          <w:szCs w:val="20"/>
          <w:color w:val="auto"/>
        </w:rPr>
      </w:pPr>
    </w:p>
    <w:p>
      <w:pPr>
        <w:ind w:left="140" w:right="139"/>
        <w:spacing w:after="0" w:line="279" w:lineRule="auto"/>
        <w:rPr>
          <w:sz w:val="20"/>
          <w:szCs w:val="20"/>
          <w:color w:val="auto"/>
        </w:rPr>
      </w:pPr>
      <w:r>
        <w:rPr>
          <w:rFonts w:ascii="Arial" w:cs="Arial" w:eastAsia="Arial" w:hAnsi="Arial"/>
          <w:sz w:val="16"/>
          <w:szCs w:val="16"/>
          <w:color w:val="auto"/>
        </w:rPr>
        <w:t>We currently sponsor the Fidelity National Information Services, Inc. Employee Stock Purchase Plan (“ESPP”), through which our employees can purchase shares of our common stock on an after-tax basis through payroll deductions and through matching employer contributions. Participants may elect to contribute between 3% and 15% of their salary into the ESPP through payroll deduction. In the month following the end of each calendar quarter, we make a matching contribution to the account of each participant who has been continuously employed by us or a participating subsidiary for the last four calendar quarters. During 2025, matching contributions were equal to 20% of employee contributions made during the year-ago quarter. The matching contributions, together with the employee deferrals, are used to purchase shares of our common stock on the open market with no discount.</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Health and Welfare Benefits</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sponsor various broad-based health and welfare benefit plans for our employees.</w:t>
      </w:r>
    </w:p>
    <w:p>
      <w:pPr>
        <w:spacing w:after="0" w:line="194" w:lineRule="exact"/>
        <w:rPr>
          <w:sz w:val="20"/>
          <w:szCs w:val="20"/>
          <w:color w:val="auto"/>
        </w:rPr>
      </w:pPr>
    </w:p>
    <w:p>
      <w:pPr>
        <w:ind w:left="140" w:right="199"/>
        <w:spacing w:after="0" w:line="321" w:lineRule="auto"/>
        <w:rPr>
          <w:sz w:val="20"/>
          <w:szCs w:val="20"/>
          <w:color w:val="auto"/>
        </w:rPr>
      </w:pPr>
      <w:r>
        <w:rPr>
          <w:rFonts w:ascii="Arial" w:cs="Arial" w:eastAsia="Arial" w:hAnsi="Arial"/>
          <w:sz w:val="16"/>
          <w:szCs w:val="16"/>
          <w:color w:val="auto"/>
        </w:rPr>
        <w:t>Our NEOs participate in the same benefit plans as our other employees. All employees in the United States, including our NEOs, are eligible to participate in our health and welfare plans, as well as our 401(k) plan and ESPP.</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Other Benefits</w:t>
      </w:r>
    </w:p>
    <w:p>
      <w:pPr>
        <w:spacing w:after="0" w:line="128" w:lineRule="exact"/>
        <w:rPr>
          <w:sz w:val="20"/>
          <w:szCs w:val="20"/>
          <w:color w:val="auto"/>
        </w:rPr>
      </w:pPr>
    </w:p>
    <w:p>
      <w:pPr>
        <w:ind w:left="140" w:right="179"/>
        <w:spacing w:after="0" w:line="279" w:lineRule="auto"/>
        <w:rPr>
          <w:sz w:val="20"/>
          <w:szCs w:val="20"/>
          <w:color w:val="auto"/>
        </w:rPr>
      </w:pPr>
      <w:r>
        <w:rPr>
          <w:rFonts w:ascii="Arial" w:cs="Arial" w:eastAsia="Arial" w:hAnsi="Arial"/>
          <w:sz w:val="16"/>
          <w:szCs w:val="16"/>
          <w:color w:val="auto"/>
        </w:rPr>
        <w:t>We provide limited special benefits to our NEOs. In general, the benefits provided are intended to help our NEOs be more productive and efficient and to protect us and the executives from certain business risks and potential threats. For safety and efficiency purposes in 2025, certain of our NEOs received personal use of the corporate air transportation. The Board requires the CEO to use the corporate aircraft for all business and personal travel for purposes of security, rapid availability, efficiency and communication connectivity. While corporate aircraft travel is required, any personal travel that would exceed $250,000 annually requires Board approval. Further detail regarding executive perquisites in 2025 can be found in the 2025 Summary Compensation Table under the column All Other Compensation and the related footnote.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hanging="429"/>
        <w:spacing w:after="0"/>
        <w:tabs>
          <w:tab w:leader="none" w:pos="620" w:val="left"/>
        </w:tabs>
        <w:numPr>
          <w:ilvl w:val="0"/>
          <w:numId w:val="97"/>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73" w:name="page74"/>
    <w:bookmarkEnd w:id="73"/>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Compensation Discussion and Analysis</w:t>
      </w:r>
    </w:p>
    <w:p>
      <w:pPr>
        <w:spacing w:after="0" w:line="391"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Post-termination Compensation and Benefits</w:t>
      </w:r>
    </w:p>
    <w:p>
      <w:pPr>
        <w:spacing w:after="0" w:line="114" w:lineRule="exact"/>
        <w:rPr>
          <w:sz w:val="20"/>
          <w:szCs w:val="20"/>
          <w:color w:val="auto"/>
        </w:rPr>
      </w:pPr>
    </w:p>
    <w:p>
      <w:pPr>
        <w:jc w:val="both"/>
        <w:ind w:left="140" w:right="279"/>
        <w:spacing w:after="0" w:line="289" w:lineRule="auto"/>
        <w:rPr>
          <w:sz w:val="20"/>
          <w:szCs w:val="20"/>
          <w:color w:val="auto"/>
        </w:rPr>
      </w:pPr>
      <w:r>
        <w:rPr>
          <w:rFonts w:ascii="Arial" w:cs="Arial" w:eastAsia="Arial" w:hAnsi="Arial"/>
          <w:sz w:val="16"/>
          <w:szCs w:val="16"/>
          <w:color w:val="auto"/>
        </w:rPr>
        <w:t>We have entered into employment agreements with several of our NEOs, to protect our legitimate business interests, as well as to protect the executives in certain termination events. Descriptions of the material terms of all of the agreements can be found in the narrative following the 2025 Grants of Plan-Based Awards table and in the Potential Payments Upon Termination or Change in Control section.</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Compensation Committee Report</w:t>
      </w:r>
    </w:p>
    <w:p>
      <w:pPr>
        <w:spacing w:after="0" w:line="94" w:lineRule="exact"/>
        <w:rPr>
          <w:sz w:val="20"/>
          <w:szCs w:val="20"/>
          <w:color w:val="auto"/>
        </w:rPr>
      </w:pPr>
    </w:p>
    <w:p>
      <w:pPr>
        <w:ind w:left="140" w:right="459"/>
        <w:spacing w:after="0" w:line="289" w:lineRule="auto"/>
        <w:rPr>
          <w:sz w:val="20"/>
          <w:szCs w:val="20"/>
          <w:color w:val="auto"/>
        </w:rPr>
      </w:pPr>
      <w:r>
        <w:rPr>
          <w:rFonts w:ascii="Arial" w:cs="Arial" w:eastAsia="Arial" w:hAnsi="Arial"/>
          <w:sz w:val="16"/>
          <w:szCs w:val="16"/>
          <w:color w:val="auto"/>
        </w:rPr>
        <w:t>The Compensation Committee has reviewed and discussed the Compensation Discussion and Analysis required by Item 402(b) of Regulation S-K with management, and based on such review and discussion, the Compensation Committee recommended to the Board that the Compensation Discussion and Analysis be included in the Company’s Annual Report on Form 10-K and this Proxy Statement.</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Compensation Committee</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Gary L. Lauer (Chair)</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Mark D. Benjamin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Jeffrey A. Goldstein</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Kenneth T. Lamneck</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James B. Stallings, Jr.</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71</w:t>
      </w:r>
    </w:p>
    <w:p>
      <w:pPr>
        <w:sectPr>
          <w:pgSz w:w="11900" w:h="16838" w:orient="portrait"/>
          <w:cols w:equalWidth="0" w:num="1">
            <w:col w:w="9019"/>
          </w:cols>
          <w:pgMar w:left="1440" w:top="657" w:right="1440" w:bottom="1440" w:gutter="0" w:footer="0" w:header="0"/>
          <w:type w:val="continuous"/>
        </w:sectPr>
      </w:pPr>
    </w:p>
    <w:bookmarkStart w:id="74" w:name="page75"/>
    <w:bookmarkEnd w:id="74"/>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54"/>
          <w:szCs w:val="54"/>
          <w:color w:val="431C5B"/>
        </w:rPr>
        <w:t>Executive Compensation</w:t>
      </w:r>
    </w:p>
    <w:p>
      <w:pPr>
        <w:spacing w:after="0" w:line="96" w:lineRule="exact"/>
        <w:rPr>
          <w:sz w:val="20"/>
          <w:szCs w:val="20"/>
          <w:color w:val="auto"/>
        </w:rPr>
      </w:pPr>
    </w:p>
    <w:p>
      <w:pPr>
        <w:ind w:left="140" w:right="299"/>
        <w:spacing w:after="0" w:line="252" w:lineRule="auto"/>
        <w:rPr>
          <w:sz w:val="20"/>
          <w:szCs w:val="20"/>
          <w:color w:val="auto"/>
        </w:rPr>
      </w:pPr>
      <w:r>
        <w:rPr>
          <w:rFonts w:ascii="Arial" w:cs="Arial" w:eastAsia="Arial" w:hAnsi="Arial"/>
          <w:sz w:val="16"/>
          <w:szCs w:val="16"/>
          <w:color w:val="auto"/>
        </w:rPr>
        <w:t>The following table sets forth information regarding the cash and non-cash compensation earned by and awarded to our NEOs in 2025 and, to the extent required by SEC disclosure rules, in 2024 and 2023.</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2025 Summary Compensation Table</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Arial" w:cs="Arial" w:eastAsia="Arial" w:hAnsi="Arial"/>
                <w:sz w:val="13"/>
                <w:szCs w:val="13"/>
                <w:b w:val="1"/>
                <w:bCs w:val="1"/>
                <w:color w:val="431C5B"/>
              </w:rPr>
              <w:t>Non-Equity</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b w:val="1"/>
                <w:bCs w:val="1"/>
                <w:color w:val="431C5B"/>
              </w:rPr>
              <w:t>Stock</w:t>
            </w:r>
          </w:p>
        </w:tc>
        <w:tc>
          <w:tcPr>
            <w:tcW w:w="860" w:type="dxa"/>
            <w:vAlign w:val="bottom"/>
          </w:tcPr>
          <w:p>
            <w:pPr>
              <w:jc w:val="right"/>
              <w:ind w:right="72"/>
              <w:spacing w:after="0"/>
              <w:rPr>
                <w:sz w:val="20"/>
                <w:szCs w:val="20"/>
                <w:color w:val="auto"/>
              </w:rPr>
            </w:pPr>
            <w:r>
              <w:rPr>
                <w:rFonts w:ascii="Arial" w:cs="Arial" w:eastAsia="Arial" w:hAnsi="Arial"/>
                <w:sz w:val="13"/>
                <w:szCs w:val="13"/>
                <w:b w:val="1"/>
                <w:bCs w:val="1"/>
                <w:color w:val="431C5B"/>
              </w:rPr>
              <w:t>Option</w:t>
            </w:r>
          </w:p>
        </w:tc>
        <w:tc>
          <w:tcPr>
            <w:tcW w:w="900" w:type="dxa"/>
            <w:vAlign w:val="bottom"/>
          </w:tcPr>
          <w:p>
            <w:pPr>
              <w:jc w:val="right"/>
              <w:ind w:right="54"/>
              <w:spacing w:after="0"/>
              <w:rPr>
                <w:sz w:val="20"/>
                <w:szCs w:val="20"/>
                <w:color w:val="auto"/>
              </w:rPr>
            </w:pPr>
            <w:r>
              <w:rPr>
                <w:rFonts w:ascii="Arial" w:cs="Arial" w:eastAsia="Arial" w:hAnsi="Arial"/>
                <w:sz w:val="13"/>
                <w:szCs w:val="13"/>
                <w:b w:val="1"/>
                <w:bCs w:val="1"/>
                <w:color w:val="431C5B"/>
              </w:rPr>
              <w:t>Incentive</w:t>
            </w:r>
          </w:p>
        </w:tc>
        <w:tc>
          <w:tcPr>
            <w:tcW w:w="1080" w:type="dxa"/>
            <w:vAlign w:val="bottom"/>
          </w:tcPr>
          <w:p>
            <w:pPr>
              <w:jc w:val="right"/>
              <w:ind w:right="33"/>
              <w:spacing w:after="0"/>
              <w:rPr>
                <w:sz w:val="20"/>
                <w:szCs w:val="20"/>
                <w:color w:val="auto"/>
              </w:rPr>
            </w:pPr>
            <w:r>
              <w:rPr>
                <w:rFonts w:ascii="Arial" w:cs="Arial" w:eastAsia="Arial" w:hAnsi="Arial"/>
                <w:sz w:val="13"/>
                <w:szCs w:val="13"/>
                <w:b w:val="1"/>
                <w:bCs w:val="1"/>
                <w:color w:val="431C5B"/>
              </w:rPr>
              <w:t>All Other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860" w:type="dxa"/>
            <w:vAlign w:val="bottom"/>
          </w:tcPr>
          <w:p>
            <w:pPr>
              <w:ind w:left="80"/>
              <w:spacing w:after="0" w:line="139" w:lineRule="exact"/>
              <w:rPr>
                <w:sz w:val="20"/>
                <w:szCs w:val="20"/>
                <w:color w:val="auto"/>
              </w:rPr>
            </w:pPr>
            <w:r>
              <w:rPr>
                <w:rFonts w:ascii="Arial" w:cs="Arial" w:eastAsia="Arial" w:hAnsi="Arial"/>
                <w:sz w:val="13"/>
                <w:szCs w:val="13"/>
                <w:b w:val="1"/>
                <w:bCs w:val="1"/>
                <w:color w:val="431C5B"/>
              </w:rPr>
              <w:t>Name and</w:t>
            </w:r>
          </w:p>
        </w:tc>
        <w:tc>
          <w:tcPr>
            <w:tcW w:w="580" w:type="dxa"/>
            <w:vAlign w:val="bottom"/>
          </w:tcPr>
          <w:p>
            <w:pPr>
              <w:jc w:val="right"/>
              <w:spacing w:after="0" w:line="139" w:lineRule="exact"/>
              <w:rPr>
                <w:sz w:val="20"/>
                <w:szCs w:val="20"/>
                <w:color w:val="auto"/>
              </w:rPr>
            </w:pPr>
            <w:r>
              <w:rPr>
                <w:rFonts w:ascii="Arial" w:cs="Arial" w:eastAsia="Arial" w:hAnsi="Arial"/>
                <w:sz w:val="13"/>
                <w:szCs w:val="13"/>
                <w:b w:val="1"/>
                <w:bCs w:val="1"/>
                <w:color w:val="431C5B"/>
              </w:rPr>
              <w:t>Fiscal</w:t>
            </w:r>
          </w:p>
        </w:tc>
        <w:tc>
          <w:tcPr>
            <w:tcW w:w="820" w:type="dxa"/>
            <w:vAlign w:val="bottom"/>
          </w:tcPr>
          <w:p>
            <w:pPr>
              <w:jc w:val="right"/>
              <w:spacing w:after="0" w:line="139" w:lineRule="exact"/>
              <w:rPr>
                <w:sz w:val="20"/>
                <w:szCs w:val="20"/>
                <w:color w:val="auto"/>
              </w:rPr>
            </w:pPr>
            <w:r>
              <w:rPr>
                <w:rFonts w:ascii="Arial" w:cs="Arial" w:eastAsia="Arial" w:hAnsi="Arial"/>
                <w:sz w:val="13"/>
                <w:szCs w:val="13"/>
                <w:b w:val="1"/>
                <w:bCs w:val="1"/>
                <w:color w:val="431C5B"/>
              </w:rPr>
              <w:t>Salary</w:t>
            </w:r>
          </w:p>
        </w:tc>
        <w:tc>
          <w:tcPr>
            <w:tcW w:w="880" w:type="dxa"/>
            <w:vAlign w:val="bottom"/>
          </w:tcPr>
          <w:p>
            <w:pPr>
              <w:jc w:val="right"/>
              <w:ind w:right="33"/>
              <w:spacing w:after="0" w:line="139" w:lineRule="exact"/>
              <w:rPr>
                <w:sz w:val="20"/>
                <w:szCs w:val="20"/>
                <w:color w:val="auto"/>
              </w:rPr>
            </w:pPr>
            <w:r>
              <w:rPr>
                <w:rFonts w:ascii="Arial" w:cs="Arial" w:eastAsia="Arial" w:hAnsi="Arial"/>
                <w:sz w:val="13"/>
                <w:szCs w:val="13"/>
                <w:b w:val="1"/>
                <w:bCs w:val="1"/>
                <w:color w:val="431C5B"/>
              </w:rPr>
              <w:t>Bonus</w:t>
            </w:r>
          </w:p>
        </w:tc>
        <w:tc>
          <w:tcPr>
            <w:tcW w:w="900" w:type="dxa"/>
            <w:vAlign w:val="bottom"/>
          </w:tcPr>
          <w:p>
            <w:pPr>
              <w:jc w:val="right"/>
              <w:ind w:right="13"/>
              <w:spacing w:after="0" w:line="139" w:lineRule="exact"/>
              <w:rPr>
                <w:sz w:val="20"/>
                <w:szCs w:val="20"/>
                <w:color w:val="auto"/>
              </w:rPr>
            </w:pPr>
            <w:r>
              <w:rPr>
                <w:rFonts w:ascii="Arial" w:cs="Arial" w:eastAsia="Arial" w:hAnsi="Arial"/>
                <w:sz w:val="13"/>
                <w:szCs w:val="13"/>
                <w:b w:val="1"/>
                <w:bCs w:val="1"/>
                <w:color w:val="431C5B"/>
              </w:rPr>
              <w:t>Awards</w:t>
            </w:r>
          </w:p>
        </w:tc>
        <w:tc>
          <w:tcPr>
            <w:tcW w:w="860" w:type="dxa"/>
            <w:vAlign w:val="bottom"/>
          </w:tcPr>
          <w:p>
            <w:pPr>
              <w:jc w:val="right"/>
              <w:ind w:right="72"/>
              <w:spacing w:after="0" w:line="139" w:lineRule="exact"/>
              <w:rPr>
                <w:sz w:val="20"/>
                <w:szCs w:val="20"/>
                <w:color w:val="auto"/>
              </w:rPr>
            </w:pPr>
            <w:r>
              <w:rPr>
                <w:rFonts w:ascii="Arial" w:cs="Arial" w:eastAsia="Arial" w:hAnsi="Arial"/>
                <w:sz w:val="13"/>
                <w:szCs w:val="13"/>
                <w:b w:val="1"/>
                <w:bCs w:val="1"/>
                <w:color w:val="431C5B"/>
              </w:rPr>
              <w:t>Awards</w:t>
            </w:r>
          </w:p>
        </w:tc>
        <w:tc>
          <w:tcPr>
            <w:tcW w:w="900" w:type="dxa"/>
            <w:vAlign w:val="bottom"/>
          </w:tcPr>
          <w:p>
            <w:pPr>
              <w:jc w:val="right"/>
              <w:ind w:right="54"/>
              <w:spacing w:after="0" w:line="139" w:lineRule="exact"/>
              <w:rPr>
                <w:sz w:val="20"/>
                <w:szCs w:val="20"/>
                <w:color w:val="auto"/>
              </w:rPr>
            </w:pPr>
            <w:r>
              <w:rPr>
                <w:rFonts w:ascii="Arial" w:cs="Arial" w:eastAsia="Arial" w:hAnsi="Arial"/>
                <w:sz w:val="13"/>
                <w:szCs w:val="13"/>
                <w:b w:val="1"/>
                <w:bCs w:val="1"/>
                <w:color w:val="431C5B"/>
              </w:rPr>
              <w:t>Earnings</w:t>
            </w:r>
          </w:p>
        </w:tc>
        <w:tc>
          <w:tcPr>
            <w:tcW w:w="1080" w:type="dxa"/>
            <w:vAlign w:val="bottom"/>
          </w:tcPr>
          <w:p>
            <w:pPr>
              <w:jc w:val="right"/>
              <w:ind w:right="33"/>
              <w:spacing w:after="0" w:line="139" w:lineRule="exact"/>
              <w:rPr>
                <w:sz w:val="20"/>
                <w:szCs w:val="20"/>
                <w:color w:val="auto"/>
              </w:rPr>
            </w:pPr>
            <w:r>
              <w:rPr>
                <w:rFonts w:ascii="Arial" w:cs="Arial" w:eastAsia="Arial" w:hAnsi="Arial"/>
                <w:sz w:val="13"/>
                <w:szCs w:val="13"/>
                <w:b w:val="1"/>
                <w:bCs w:val="1"/>
                <w:color w:val="431C5B"/>
              </w:rPr>
              <w:t>Compensation</w:t>
            </w:r>
          </w:p>
        </w:tc>
        <w:tc>
          <w:tcPr>
            <w:tcW w:w="880" w:type="dxa"/>
            <w:vAlign w:val="bottom"/>
          </w:tcPr>
          <w:p>
            <w:pPr>
              <w:jc w:val="right"/>
              <w:spacing w:after="0" w:line="139" w:lineRule="exact"/>
              <w:rPr>
                <w:sz w:val="20"/>
                <w:szCs w:val="20"/>
                <w:color w:val="auto"/>
              </w:rPr>
            </w:pPr>
            <w:r>
              <w:rPr>
                <w:rFonts w:ascii="Arial" w:cs="Arial" w:eastAsia="Arial" w:hAnsi="Arial"/>
                <w:sz w:val="13"/>
                <w:szCs w:val="13"/>
                <w:b w:val="1"/>
                <w:bCs w:val="1"/>
                <w:color w:val="431C5B"/>
              </w:rPr>
              <w:t>Total</w:t>
            </w:r>
          </w:p>
        </w:tc>
        <w:tc>
          <w:tcPr>
            <w:tcW w:w="0" w:type="dxa"/>
            <w:vAlign w:val="bottom"/>
          </w:tcPr>
          <w:p>
            <w:pPr>
              <w:spacing w:after="0"/>
              <w:rPr>
                <w:sz w:val="1"/>
                <w:szCs w:val="1"/>
                <w:color w:val="auto"/>
              </w:rPr>
            </w:pPr>
          </w:p>
        </w:tc>
      </w:tr>
      <w:tr>
        <w:trPr>
          <w:trHeight w:val="177"/>
        </w:trPr>
        <w:tc>
          <w:tcPr>
            <w:tcW w:w="1860" w:type="dxa"/>
            <w:vAlign w:val="bottom"/>
            <w:tcBorders>
              <w:bottom w:val="single" w:sz="8" w:color="431C5B"/>
            </w:tcBorders>
          </w:tcPr>
          <w:p>
            <w:pPr>
              <w:ind w:left="80"/>
              <w:spacing w:after="0"/>
              <w:rPr>
                <w:sz w:val="20"/>
                <w:szCs w:val="20"/>
                <w:color w:val="auto"/>
              </w:rPr>
            </w:pPr>
            <w:r>
              <w:rPr>
                <w:rFonts w:ascii="Arial" w:cs="Arial" w:eastAsia="Arial" w:hAnsi="Arial"/>
                <w:sz w:val="13"/>
                <w:szCs w:val="13"/>
                <w:b w:val="1"/>
                <w:bCs w:val="1"/>
                <w:color w:val="431C5B"/>
              </w:rPr>
              <w:t>Position</w:t>
            </w:r>
          </w:p>
        </w:tc>
        <w:tc>
          <w:tcPr>
            <w:tcW w:w="58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Year</w:t>
            </w:r>
          </w:p>
        </w:tc>
        <w:tc>
          <w:tcPr>
            <w:tcW w:w="820" w:type="dxa"/>
            <w:vAlign w:val="bottom"/>
            <w:tcBorders>
              <w:bottom w:val="single" w:sz="8" w:color="431C5B"/>
            </w:tcBorders>
          </w:tcPr>
          <w:p>
            <w:pPr>
              <w:jc w:val="right"/>
              <w:spacing w:after="0" w:line="177" w:lineRule="exact"/>
              <w:rPr>
                <w:sz w:val="20"/>
                <w:szCs w:val="20"/>
                <w:color w:val="auto"/>
              </w:rPr>
            </w:pPr>
            <w:r>
              <w:rPr>
                <w:rFonts w:ascii="Arial" w:cs="Arial" w:eastAsia="Arial" w:hAnsi="Arial"/>
                <w:sz w:val="20"/>
                <w:szCs w:val="20"/>
                <w:b w:val="1"/>
                <w:bCs w:val="1"/>
                <w:color w:val="431C5B"/>
                <w:vertAlign w:val="subscript"/>
              </w:rPr>
              <w:t>($)</w:t>
            </w:r>
            <w:r>
              <w:rPr>
                <w:rFonts w:ascii="Arial" w:cs="Arial" w:eastAsia="Arial" w:hAnsi="Arial"/>
                <w:sz w:val="7"/>
                <w:szCs w:val="7"/>
                <w:b w:val="1"/>
                <w:bCs w:val="1"/>
                <w:color w:val="431C5B"/>
              </w:rPr>
              <w:t>(1)</w:t>
            </w:r>
          </w:p>
        </w:tc>
        <w:tc>
          <w:tcPr>
            <w:tcW w:w="880" w:type="dxa"/>
            <w:vAlign w:val="bottom"/>
            <w:tcBorders>
              <w:bottom w:val="single" w:sz="8" w:color="431C5B"/>
            </w:tcBorders>
          </w:tcPr>
          <w:p>
            <w:pPr>
              <w:jc w:val="right"/>
              <w:ind w:right="33"/>
              <w:spacing w:after="0" w:line="177" w:lineRule="exact"/>
              <w:rPr>
                <w:sz w:val="20"/>
                <w:szCs w:val="20"/>
                <w:color w:val="auto"/>
              </w:rPr>
            </w:pPr>
            <w:r>
              <w:rPr>
                <w:rFonts w:ascii="Arial" w:cs="Arial" w:eastAsia="Arial" w:hAnsi="Arial"/>
                <w:sz w:val="20"/>
                <w:szCs w:val="20"/>
                <w:b w:val="1"/>
                <w:bCs w:val="1"/>
                <w:color w:val="431C5B"/>
                <w:vertAlign w:val="subscript"/>
              </w:rPr>
              <w:t>($)</w:t>
            </w:r>
            <w:r>
              <w:rPr>
                <w:rFonts w:ascii="Arial" w:cs="Arial" w:eastAsia="Arial" w:hAnsi="Arial"/>
                <w:sz w:val="7"/>
                <w:szCs w:val="7"/>
                <w:b w:val="1"/>
                <w:bCs w:val="1"/>
                <w:color w:val="431C5B"/>
              </w:rPr>
              <w:t>(2)</w:t>
            </w:r>
          </w:p>
        </w:tc>
        <w:tc>
          <w:tcPr>
            <w:tcW w:w="900" w:type="dxa"/>
            <w:vAlign w:val="bottom"/>
            <w:tcBorders>
              <w:bottom w:val="single" w:sz="8" w:color="431C5B"/>
            </w:tcBorders>
          </w:tcPr>
          <w:p>
            <w:pPr>
              <w:jc w:val="right"/>
              <w:ind w:right="13"/>
              <w:spacing w:after="0" w:line="177" w:lineRule="exact"/>
              <w:rPr>
                <w:sz w:val="20"/>
                <w:szCs w:val="20"/>
                <w:color w:val="auto"/>
              </w:rPr>
            </w:pPr>
            <w:r>
              <w:rPr>
                <w:rFonts w:ascii="Arial" w:cs="Arial" w:eastAsia="Arial" w:hAnsi="Arial"/>
                <w:sz w:val="20"/>
                <w:szCs w:val="20"/>
                <w:b w:val="1"/>
                <w:bCs w:val="1"/>
                <w:color w:val="431C5B"/>
                <w:vertAlign w:val="subscript"/>
              </w:rPr>
              <w:t>($)</w:t>
            </w:r>
            <w:r>
              <w:rPr>
                <w:rFonts w:ascii="Arial" w:cs="Arial" w:eastAsia="Arial" w:hAnsi="Arial"/>
                <w:sz w:val="7"/>
                <w:szCs w:val="7"/>
                <w:b w:val="1"/>
                <w:bCs w:val="1"/>
                <w:color w:val="431C5B"/>
              </w:rPr>
              <w:t>(3)</w:t>
            </w:r>
          </w:p>
        </w:tc>
        <w:tc>
          <w:tcPr>
            <w:tcW w:w="860" w:type="dxa"/>
            <w:vAlign w:val="bottom"/>
            <w:tcBorders>
              <w:bottom w:val="single" w:sz="8" w:color="431C5B"/>
            </w:tcBorders>
          </w:tcPr>
          <w:p>
            <w:pPr>
              <w:jc w:val="right"/>
              <w:ind w:right="72"/>
              <w:spacing w:after="0"/>
              <w:rPr>
                <w:sz w:val="20"/>
                <w:szCs w:val="20"/>
                <w:color w:val="auto"/>
              </w:rPr>
            </w:pPr>
            <w:r>
              <w:rPr>
                <w:rFonts w:ascii="Arial" w:cs="Arial" w:eastAsia="Arial" w:hAnsi="Arial"/>
                <w:sz w:val="13"/>
                <w:szCs w:val="13"/>
                <w:b w:val="1"/>
                <w:bCs w:val="1"/>
                <w:color w:val="431C5B"/>
              </w:rPr>
              <w:t>($)</w:t>
            </w:r>
          </w:p>
        </w:tc>
        <w:tc>
          <w:tcPr>
            <w:tcW w:w="900" w:type="dxa"/>
            <w:vAlign w:val="bottom"/>
            <w:tcBorders>
              <w:bottom w:val="single" w:sz="8" w:color="431C5B"/>
            </w:tcBorders>
          </w:tcPr>
          <w:p>
            <w:pPr>
              <w:jc w:val="right"/>
              <w:ind w:right="54"/>
              <w:spacing w:after="0" w:line="177" w:lineRule="exact"/>
              <w:rPr>
                <w:sz w:val="20"/>
                <w:szCs w:val="20"/>
                <w:color w:val="auto"/>
              </w:rPr>
            </w:pPr>
            <w:r>
              <w:rPr>
                <w:rFonts w:ascii="Arial" w:cs="Arial" w:eastAsia="Arial" w:hAnsi="Arial"/>
                <w:sz w:val="20"/>
                <w:szCs w:val="20"/>
                <w:b w:val="1"/>
                <w:bCs w:val="1"/>
                <w:color w:val="431C5B"/>
                <w:vertAlign w:val="subscript"/>
              </w:rPr>
              <w:t>($)</w:t>
            </w:r>
            <w:r>
              <w:rPr>
                <w:rFonts w:ascii="Arial" w:cs="Arial" w:eastAsia="Arial" w:hAnsi="Arial"/>
                <w:sz w:val="7"/>
                <w:szCs w:val="7"/>
                <w:b w:val="1"/>
                <w:bCs w:val="1"/>
                <w:color w:val="431C5B"/>
              </w:rPr>
              <w:t>(4)</w:t>
            </w:r>
          </w:p>
        </w:tc>
        <w:tc>
          <w:tcPr>
            <w:tcW w:w="1080" w:type="dxa"/>
            <w:vAlign w:val="bottom"/>
            <w:tcBorders>
              <w:bottom w:val="single" w:sz="8" w:color="431C5B"/>
            </w:tcBorders>
          </w:tcPr>
          <w:p>
            <w:pPr>
              <w:jc w:val="right"/>
              <w:ind w:right="33"/>
              <w:spacing w:after="0" w:line="177" w:lineRule="exact"/>
              <w:rPr>
                <w:sz w:val="20"/>
                <w:szCs w:val="20"/>
                <w:color w:val="auto"/>
              </w:rPr>
            </w:pPr>
            <w:r>
              <w:rPr>
                <w:rFonts w:ascii="Arial" w:cs="Arial" w:eastAsia="Arial" w:hAnsi="Arial"/>
                <w:sz w:val="20"/>
                <w:szCs w:val="20"/>
                <w:b w:val="1"/>
                <w:bCs w:val="1"/>
                <w:color w:val="431C5B"/>
                <w:vertAlign w:val="subscript"/>
              </w:rPr>
              <w:t>($)</w:t>
            </w:r>
            <w:r>
              <w:rPr>
                <w:rFonts w:ascii="Arial" w:cs="Arial" w:eastAsia="Arial" w:hAnsi="Arial"/>
                <w:sz w:val="7"/>
                <w:szCs w:val="7"/>
                <w:b w:val="1"/>
                <w:bCs w:val="1"/>
                <w:color w:val="431C5B"/>
              </w:rPr>
              <w:t>(5)</w:t>
            </w:r>
          </w:p>
        </w:tc>
        <w:tc>
          <w:tcPr>
            <w:tcW w:w="88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w:t>
            </w:r>
          </w:p>
        </w:tc>
        <w:tc>
          <w:tcPr>
            <w:tcW w:w="0" w:type="dxa"/>
            <w:vAlign w:val="bottom"/>
          </w:tcPr>
          <w:p>
            <w:pPr>
              <w:spacing w:after="0"/>
              <w:rPr>
                <w:sz w:val="1"/>
                <w:szCs w:val="1"/>
                <w:color w:val="auto"/>
              </w:rPr>
            </w:pPr>
          </w:p>
        </w:tc>
      </w:tr>
      <w:tr>
        <w:trPr>
          <w:trHeight w:val="201"/>
        </w:trPr>
        <w:tc>
          <w:tcPr>
            <w:tcW w:w="186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b w:val="1"/>
                <w:bCs w:val="1"/>
                <w:color w:val="431C5B"/>
              </w:rPr>
              <w:t>Stephanie L. Ferris</w:t>
            </w:r>
          </w:p>
        </w:tc>
        <w:tc>
          <w:tcPr>
            <w:tcW w:w="58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2025</w:t>
            </w:r>
          </w:p>
        </w:tc>
        <w:tc>
          <w:tcPr>
            <w:tcW w:w="8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1,250,000</w:t>
            </w:r>
          </w:p>
        </w:tc>
        <w:tc>
          <w:tcPr>
            <w:tcW w:w="880" w:type="dxa"/>
            <w:vAlign w:val="bottom"/>
            <w:tcBorders>
              <w:bottom w:val="single" w:sz="8" w:color="EDFAEC"/>
            </w:tcBorders>
            <w:shd w:val="clear" w:color="auto" w:fill="EDFAEC"/>
          </w:tcPr>
          <w:p>
            <w:pPr>
              <w:jc w:val="right"/>
              <w:ind w:right="53"/>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DFAEC"/>
            </w:tcBorders>
            <w:shd w:val="clear" w:color="auto" w:fill="EDFAEC"/>
          </w:tcPr>
          <w:p>
            <w:pPr>
              <w:jc w:val="right"/>
              <w:ind w:right="33"/>
              <w:spacing w:after="0"/>
              <w:rPr>
                <w:sz w:val="20"/>
                <w:szCs w:val="20"/>
                <w:color w:val="auto"/>
              </w:rPr>
            </w:pPr>
            <w:r>
              <w:rPr>
                <w:rFonts w:ascii="Arial" w:cs="Arial" w:eastAsia="Arial" w:hAnsi="Arial"/>
                <w:sz w:val="14"/>
                <w:szCs w:val="14"/>
                <w:color w:val="auto"/>
              </w:rPr>
              <w:t>18,741,367</w:t>
            </w:r>
          </w:p>
        </w:tc>
        <w:tc>
          <w:tcPr>
            <w:tcW w:w="860" w:type="dxa"/>
            <w:vAlign w:val="bottom"/>
            <w:tcBorders>
              <w:bottom w:val="single" w:sz="8" w:color="EDFAEC"/>
            </w:tcBorders>
            <w:shd w:val="clear" w:color="auto" w:fill="EDFAEC"/>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DFAEC"/>
            </w:tcBorders>
            <w:shd w:val="clear" w:color="auto" w:fill="EDFAEC"/>
          </w:tcPr>
          <w:p>
            <w:pPr>
              <w:jc w:val="right"/>
              <w:ind w:right="54"/>
              <w:spacing w:after="0"/>
              <w:rPr>
                <w:sz w:val="20"/>
                <w:szCs w:val="20"/>
                <w:color w:val="auto"/>
              </w:rPr>
            </w:pPr>
            <w:r>
              <w:rPr>
                <w:rFonts w:ascii="Arial" w:cs="Arial" w:eastAsia="Arial" w:hAnsi="Arial"/>
                <w:sz w:val="14"/>
                <w:szCs w:val="14"/>
                <w:color w:val="auto"/>
              </w:rPr>
              <w:t>2,812,500</w:t>
            </w:r>
          </w:p>
        </w:tc>
        <w:tc>
          <w:tcPr>
            <w:tcW w:w="1080" w:type="dxa"/>
            <w:vAlign w:val="bottom"/>
            <w:tcBorders>
              <w:bottom w:val="single" w:sz="8" w:color="EDFAEC"/>
            </w:tcBorders>
            <w:shd w:val="clear" w:color="auto" w:fill="EDFAEC"/>
          </w:tcPr>
          <w:p>
            <w:pPr>
              <w:jc w:val="right"/>
              <w:ind w:right="53"/>
              <w:spacing w:after="0"/>
              <w:rPr>
                <w:sz w:val="20"/>
                <w:szCs w:val="20"/>
                <w:color w:val="auto"/>
              </w:rPr>
            </w:pPr>
            <w:r>
              <w:rPr>
                <w:rFonts w:ascii="Arial" w:cs="Arial" w:eastAsia="Arial" w:hAnsi="Arial"/>
                <w:sz w:val="14"/>
                <w:szCs w:val="14"/>
                <w:color w:val="auto"/>
              </w:rPr>
              <w:t>124,545</w:t>
            </w:r>
          </w:p>
        </w:tc>
        <w:tc>
          <w:tcPr>
            <w:tcW w:w="88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22,928,412</w:t>
            </w:r>
          </w:p>
        </w:tc>
        <w:tc>
          <w:tcPr>
            <w:tcW w:w="0" w:type="dxa"/>
            <w:vAlign w:val="bottom"/>
          </w:tcPr>
          <w:p>
            <w:pPr>
              <w:spacing w:after="0"/>
              <w:rPr>
                <w:sz w:val="1"/>
                <w:szCs w:val="1"/>
                <w:color w:val="auto"/>
              </w:rPr>
            </w:pPr>
          </w:p>
        </w:tc>
      </w:tr>
      <w:tr>
        <w:trPr>
          <w:trHeight w:val="201"/>
        </w:trPr>
        <w:tc>
          <w:tcPr>
            <w:tcW w:w="1860" w:type="dxa"/>
            <w:vAlign w:val="bottom"/>
            <w:tcBorders>
              <w:top w:val="single" w:sz="8" w:color="EDFAEC"/>
              <w:bottom w:val="single" w:sz="8" w:color="EDFAEC"/>
            </w:tcBorders>
            <w:shd w:val="clear" w:color="auto" w:fill="EDFAEC"/>
          </w:tcPr>
          <w:p>
            <w:pPr>
              <w:ind w:left="80"/>
              <w:spacing w:after="0" w:line="142" w:lineRule="exact"/>
              <w:rPr>
                <w:sz w:val="20"/>
                <w:szCs w:val="20"/>
                <w:color w:val="auto"/>
              </w:rPr>
            </w:pPr>
            <w:r>
              <w:rPr>
                <w:rFonts w:ascii="Arial" w:cs="Arial" w:eastAsia="Arial" w:hAnsi="Arial"/>
                <w:sz w:val="14"/>
                <w:szCs w:val="14"/>
                <w:color w:val="auto"/>
              </w:rPr>
              <w:t>Chief Executive Officer</w:t>
            </w:r>
          </w:p>
        </w:tc>
        <w:tc>
          <w:tcPr>
            <w:tcW w:w="580" w:type="dxa"/>
            <w:vAlign w:val="bottom"/>
            <w:tcBorders>
              <w:top w:val="single" w:sz="8" w:color="E6E6E6"/>
              <w:bottom w:val="single" w:sz="8" w:color="EDFAEC"/>
            </w:tcBorders>
            <w:shd w:val="clear" w:color="auto" w:fill="EDFAEC"/>
          </w:tcPr>
          <w:p>
            <w:pPr>
              <w:jc w:val="right"/>
              <w:spacing w:after="0" w:line="142" w:lineRule="exact"/>
              <w:rPr>
                <w:sz w:val="20"/>
                <w:szCs w:val="20"/>
                <w:color w:val="auto"/>
              </w:rPr>
            </w:pPr>
            <w:r>
              <w:rPr>
                <w:rFonts w:ascii="Arial" w:cs="Arial" w:eastAsia="Arial" w:hAnsi="Arial"/>
                <w:sz w:val="14"/>
                <w:szCs w:val="14"/>
                <w:color w:val="auto"/>
              </w:rPr>
              <w:t>2024</w:t>
            </w:r>
          </w:p>
        </w:tc>
        <w:tc>
          <w:tcPr>
            <w:tcW w:w="820" w:type="dxa"/>
            <w:vAlign w:val="bottom"/>
            <w:tcBorders>
              <w:top w:val="single" w:sz="8" w:color="E6E6E6"/>
              <w:bottom w:val="single" w:sz="8" w:color="EDFAEC"/>
            </w:tcBorders>
            <w:shd w:val="clear" w:color="auto" w:fill="EDFAEC"/>
          </w:tcPr>
          <w:p>
            <w:pPr>
              <w:jc w:val="right"/>
              <w:spacing w:after="0" w:line="142" w:lineRule="exact"/>
              <w:rPr>
                <w:sz w:val="20"/>
                <w:szCs w:val="20"/>
                <w:color w:val="auto"/>
              </w:rPr>
            </w:pPr>
            <w:r>
              <w:rPr>
                <w:rFonts w:ascii="Arial" w:cs="Arial" w:eastAsia="Arial" w:hAnsi="Arial"/>
                <w:sz w:val="14"/>
                <w:szCs w:val="14"/>
                <w:color w:val="auto"/>
              </w:rPr>
              <w:t>1,200,000</w:t>
            </w:r>
          </w:p>
        </w:tc>
        <w:tc>
          <w:tcPr>
            <w:tcW w:w="880" w:type="dxa"/>
            <w:vAlign w:val="bottom"/>
            <w:tcBorders>
              <w:top w:val="single" w:sz="8" w:color="E6E6E6"/>
              <w:bottom w:val="single" w:sz="8" w:color="EDFAEC"/>
            </w:tcBorders>
            <w:shd w:val="clear" w:color="auto" w:fill="EDFAEC"/>
          </w:tcPr>
          <w:p>
            <w:pPr>
              <w:jc w:val="right"/>
              <w:ind w:right="53"/>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E6E6E6"/>
              <w:bottom w:val="single" w:sz="8" w:color="EDFAEC"/>
            </w:tcBorders>
            <w:shd w:val="clear" w:color="auto" w:fill="EDFAEC"/>
          </w:tcPr>
          <w:p>
            <w:pPr>
              <w:jc w:val="right"/>
              <w:ind w:right="33"/>
              <w:spacing w:after="0" w:line="142" w:lineRule="exact"/>
              <w:rPr>
                <w:sz w:val="20"/>
                <w:szCs w:val="20"/>
                <w:color w:val="auto"/>
              </w:rPr>
            </w:pPr>
            <w:r>
              <w:rPr>
                <w:rFonts w:ascii="Arial" w:cs="Arial" w:eastAsia="Arial" w:hAnsi="Arial"/>
                <w:sz w:val="14"/>
                <w:szCs w:val="14"/>
                <w:color w:val="auto"/>
              </w:rPr>
              <w:t>17,571,281</w:t>
            </w:r>
          </w:p>
        </w:tc>
        <w:tc>
          <w:tcPr>
            <w:tcW w:w="860" w:type="dxa"/>
            <w:vAlign w:val="bottom"/>
            <w:tcBorders>
              <w:top w:val="single" w:sz="8" w:color="E6E6E6"/>
              <w:bottom w:val="single" w:sz="8" w:color="EDFAEC"/>
            </w:tcBorders>
            <w:shd w:val="clear" w:color="auto" w:fill="EDFAEC"/>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E6E6E6"/>
              <w:bottom w:val="single" w:sz="8" w:color="EDFAEC"/>
            </w:tcBorders>
            <w:shd w:val="clear" w:color="auto" w:fill="EDFAEC"/>
          </w:tcPr>
          <w:p>
            <w:pPr>
              <w:jc w:val="right"/>
              <w:ind w:right="54"/>
              <w:spacing w:after="0" w:line="142" w:lineRule="exact"/>
              <w:rPr>
                <w:sz w:val="20"/>
                <w:szCs w:val="20"/>
                <w:color w:val="auto"/>
              </w:rPr>
            </w:pPr>
            <w:r>
              <w:rPr>
                <w:rFonts w:ascii="Arial" w:cs="Arial" w:eastAsia="Arial" w:hAnsi="Arial"/>
                <w:sz w:val="14"/>
                <w:szCs w:val="14"/>
                <w:color w:val="auto"/>
              </w:rPr>
              <w:t>2,301,600</w:t>
            </w:r>
          </w:p>
        </w:tc>
        <w:tc>
          <w:tcPr>
            <w:tcW w:w="1080" w:type="dxa"/>
            <w:vAlign w:val="bottom"/>
            <w:tcBorders>
              <w:top w:val="single" w:sz="8" w:color="E6E6E6"/>
              <w:bottom w:val="single" w:sz="8" w:color="EDFAEC"/>
            </w:tcBorders>
            <w:shd w:val="clear" w:color="auto" w:fill="EDFAEC"/>
          </w:tcPr>
          <w:p>
            <w:pPr>
              <w:jc w:val="right"/>
              <w:ind w:right="53"/>
              <w:spacing w:after="0" w:line="142" w:lineRule="exact"/>
              <w:rPr>
                <w:sz w:val="20"/>
                <w:szCs w:val="20"/>
                <w:color w:val="auto"/>
              </w:rPr>
            </w:pPr>
            <w:r>
              <w:rPr>
                <w:rFonts w:ascii="Arial" w:cs="Arial" w:eastAsia="Arial" w:hAnsi="Arial"/>
                <w:sz w:val="14"/>
                <w:szCs w:val="14"/>
                <w:color w:val="auto"/>
              </w:rPr>
              <w:t>170,604</w:t>
            </w:r>
          </w:p>
        </w:tc>
        <w:tc>
          <w:tcPr>
            <w:tcW w:w="880" w:type="dxa"/>
            <w:vAlign w:val="bottom"/>
            <w:tcBorders>
              <w:top w:val="single" w:sz="8" w:color="E6E6E6"/>
              <w:bottom w:val="single" w:sz="8" w:color="EDFAEC"/>
            </w:tcBorders>
            <w:shd w:val="clear" w:color="auto" w:fill="EDFAEC"/>
          </w:tcPr>
          <w:p>
            <w:pPr>
              <w:jc w:val="right"/>
              <w:spacing w:after="0" w:line="142" w:lineRule="exact"/>
              <w:rPr>
                <w:sz w:val="20"/>
                <w:szCs w:val="20"/>
                <w:color w:val="auto"/>
              </w:rPr>
            </w:pPr>
            <w:r>
              <w:rPr>
                <w:rFonts w:ascii="Arial" w:cs="Arial" w:eastAsia="Arial" w:hAnsi="Arial"/>
                <w:sz w:val="14"/>
                <w:szCs w:val="14"/>
                <w:color w:val="auto"/>
              </w:rPr>
              <w:t>21,243,485</w:t>
            </w:r>
          </w:p>
        </w:tc>
        <w:tc>
          <w:tcPr>
            <w:tcW w:w="0" w:type="dxa"/>
            <w:vAlign w:val="bottom"/>
          </w:tcPr>
          <w:p>
            <w:pPr>
              <w:spacing w:after="0"/>
              <w:rPr>
                <w:sz w:val="1"/>
                <w:szCs w:val="1"/>
                <w:color w:val="auto"/>
              </w:rPr>
            </w:pPr>
          </w:p>
        </w:tc>
      </w:tr>
      <w:tr>
        <w:trPr>
          <w:trHeight w:val="116"/>
        </w:trPr>
        <w:tc>
          <w:tcPr>
            <w:tcW w:w="1860" w:type="dxa"/>
            <w:vAlign w:val="bottom"/>
            <w:tcBorders>
              <w:top w:val="single" w:sz="8" w:color="EDFAEC"/>
            </w:tcBorders>
            <w:shd w:val="clear" w:color="auto" w:fill="EDFAEC"/>
          </w:tcPr>
          <w:p>
            <w:pPr>
              <w:ind w:left="80"/>
              <w:spacing w:after="0" w:line="116" w:lineRule="exact"/>
              <w:rPr>
                <w:sz w:val="20"/>
                <w:szCs w:val="20"/>
                <w:color w:val="auto"/>
              </w:rPr>
            </w:pPr>
            <w:r>
              <w:rPr>
                <w:rFonts w:ascii="Arial" w:cs="Arial" w:eastAsia="Arial" w:hAnsi="Arial"/>
                <w:sz w:val="13"/>
                <w:szCs w:val="13"/>
                <w:color w:val="auto"/>
              </w:rPr>
              <w:t>and President</w:t>
            </w:r>
          </w:p>
        </w:tc>
        <w:tc>
          <w:tcPr>
            <w:tcW w:w="580" w:type="dxa"/>
            <w:vAlign w:val="bottom"/>
            <w:tcBorders>
              <w:top w:val="single" w:sz="8" w:color="E6E6E6"/>
            </w:tcBorders>
            <w:vMerge w:val="restart"/>
            <w:shd w:val="clear" w:color="auto" w:fill="EDFAEC"/>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Borders>
              <w:top w:val="single" w:sz="8" w:color="E6E6E6"/>
            </w:tcBorders>
            <w:vMerge w:val="restart"/>
            <w:shd w:val="clear" w:color="auto" w:fill="EDFAEC"/>
          </w:tcPr>
          <w:p>
            <w:pPr>
              <w:jc w:val="right"/>
              <w:spacing w:after="0"/>
              <w:rPr>
                <w:sz w:val="20"/>
                <w:szCs w:val="20"/>
                <w:color w:val="auto"/>
              </w:rPr>
            </w:pPr>
            <w:r>
              <w:rPr>
                <w:rFonts w:ascii="Arial" w:cs="Arial" w:eastAsia="Arial" w:hAnsi="Arial"/>
                <w:sz w:val="14"/>
                <w:szCs w:val="14"/>
                <w:color w:val="auto"/>
              </w:rPr>
              <w:t>1,000,000</w:t>
            </w:r>
          </w:p>
        </w:tc>
        <w:tc>
          <w:tcPr>
            <w:tcW w:w="880" w:type="dxa"/>
            <w:vAlign w:val="bottom"/>
            <w:tcBorders>
              <w:top w:val="single" w:sz="8" w:color="E6E6E6"/>
            </w:tcBorders>
            <w:vMerge w:val="restart"/>
            <w:shd w:val="clear" w:color="auto" w:fill="EDFAEC"/>
          </w:tcPr>
          <w:p>
            <w:pPr>
              <w:jc w:val="right"/>
              <w:ind w:right="5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E6E6E6"/>
            </w:tcBorders>
            <w:vMerge w:val="restart"/>
            <w:shd w:val="clear" w:color="auto" w:fill="EDFAEC"/>
          </w:tcPr>
          <w:p>
            <w:pPr>
              <w:jc w:val="right"/>
              <w:ind w:right="33"/>
              <w:spacing w:after="0"/>
              <w:rPr>
                <w:sz w:val="20"/>
                <w:szCs w:val="20"/>
                <w:color w:val="auto"/>
              </w:rPr>
            </w:pPr>
            <w:r>
              <w:rPr>
                <w:rFonts w:ascii="Arial" w:cs="Arial" w:eastAsia="Arial" w:hAnsi="Arial"/>
                <w:sz w:val="14"/>
                <w:szCs w:val="14"/>
                <w:color w:val="auto"/>
              </w:rPr>
              <w:t>9,005,347</w:t>
            </w:r>
          </w:p>
        </w:tc>
        <w:tc>
          <w:tcPr>
            <w:tcW w:w="860" w:type="dxa"/>
            <w:vAlign w:val="bottom"/>
            <w:tcBorders>
              <w:top w:val="single" w:sz="8" w:color="E6E6E6"/>
            </w:tcBorders>
            <w:vMerge w:val="restart"/>
            <w:shd w:val="clear" w:color="auto" w:fill="EDFAEC"/>
          </w:tcPr>
          <w:p>
            <w:pPr>
              <w:jc w:val="right"/>
              <w:ind w:right="72"/>
              <w:spacing w:after="0"/>
              <w:rPr>
                <w:sz w:val="20"/>
                <w:szCs w:val="20"/>
                <w:color w:val="auto"/>
              </w:rPr>
            </w:pPr>
            <w:r>
              <w:rPr>
                <w:rFonts w:ascii="Arial" w:cs="Arial" w:eastAsia="Arial" w:hAnsi="Arial"/>
                <w:sz w:val="14"/>
                <w:szCs w:val="14"/>
                <w:color w:val="auto"/>
              </w:rPr>
              <w:t>6,479,998</w:t>
            </w:r>
          </w:p>
        </w:tc>
        <w:tc>
          <w:tcPr>
            <w:tcW w:w="900" w:type="dxa"/>
            <w:vAlign w:val="bottom"/>
            <w:tcBorders>
              <w:top w:val="single" w:sz="8" w:color="E6E6E6"/>
            </w:tcBorders>
            <w:vMerge w:val="restart"/>
            <w:shd w:val="clear" w:color="auto" w:fill="EDFAEC"/>
          </w:tcPr>
          <w:p>
            <w:pPr>
              <w:jc w:val="right"/>
              <w:ind w:right="54"/>
              <w:spacing w:after="0"/>
              <w:rPr>
                <w:sz w:val="20"/>
                <w:szCs w:val="20"/>
                <w:color w:val="auto"/>
              </w:rPr>
            </w:pPr>
            <w:r>
              <w:rPr>
                <w:rFonts w:ascii="Arial" w:cs="Arial" w:eastAsia="Arial" w:hAnsi="Arial"/>
                <w:sz w:val="14"/>
                <w:szCs w:val="14"/>
                <w:color w:val="auto"/>
              </w:rPr>
              <w:t>2,856,220</w:t>
            </w:r>
          </w:p>
        </w:tc>
        <w:tc>
          <w:tcPr>
            <w:tcW w:w="1080" w:type="dxa"/>
            <w:vAlign w:val="bottom"/>
            <w:tcBorders>
              <w:top w:val="single" w:sz="8" w:color="E6E6E6"/>
            </w:tcBorders>
            <w:vMerge w:val="restart"/>
            <w:shd w:val="clear" w:color="auto" w:fill="EDFAEC"/>
          </w:tcPr>
          <w:p>
            <w:pPr>
              <w:jc w:val="right"/>
              <w:ind w:right="53"/>
              <w:spacing w:after="0"/>
              <w:rPr>
                <w:sz w:val="20"/>
                <w:szCs w:val="20"/>
                <w:color w:val="auto"/>
              </w:rPr>
            </w:pPr>
            <w:r>
              <w:rPr>
                <w:rFonts w:ascii="Arial" w:cs="Arial" w:eastAsia="Arial" w:hAnsi="Arial"/>
                <w:sz w:val="14"/>
                <w:szCs w:val="14"/>
                <w:color w:val="auto"/>
              </w:rPr>
              <w:t>92,177</w:t>
            </w:r>
          </w:p>
        </w:tc>
        <w:tc>
          <w:tcPr>
            <w:tcW w:w="880" w:type="dxa"/>
            <w:vAlign w:val="bottom"/>
            <w:tcBorders>
              <w:top w:val="single" w:sz="8" w:color="E6E6E6"/>
            </w:tcBorders>
            <w:vMerge w:val="restart"/>
            <w:shd w:val="clear" w:color="auto" w:fill="EDFAEC"/>
          </w:tcPr>
          <w:p>
            <w:pPr>
              <w:jc w:val="right"/>
              <w:spacing w:after="0"/>
              <w:rPr>
                <w:sz w:val="20"/>
                <w:szCs w:val="20"/>
                <w:color w:val="auto"/>
              </w:rPr>
            </w:pPr>
            <w:r>
              <w:rPr>
                <w:rFonts w:ascii="Arial" w:cs="Arial" w:eastAsia="Arial" w:hAnsi="Arial"/>
                <w:sz w:val="14"/>
                <w:szCs w:val="14"/>
                <w:color w:val="auto"/>
              </w:rPr>
              <w:t>19,433,742</w:t>
            </w:r>
          </w:p>
        </w:tc>
        <w:tc>
          <w:tcPr>
            <w:tcW w:w="0" w:type="dxa"/>
            <w:vAlign w:val="bottom"/>
          </w:tcPr>
          <w:p>
            <w:pPr>
              <w:spacing w:after="0"/>
              <w:rPr>
                <w:sz w:val="1"/>
                <w:szCs w:val="1"/>
                <w:color w:val="auto"/>
              </w:rPr>
            </w:pPr>
          </w:p>
        </w:tc>
      </w:tr>
      <w:tr>
        <w:trPr>
          <w:trHeight w:val="76"/>
        </w:trPr>
        <w:tc>
          <w:tcPr>
            <w:tcW w:w="1860" w:type="dxa"/>
            <w:vAlign w:val="bottom"/>
            <w:tcBorders>
              <w:bottom w:val="single" w:sz="8" w:color="E6E6E6"/>
            </w:tcBorders>
            <w:shd w:val="clear" w:color="auto" w:fill="EDFAEC"/>
          </w:tcPr>
          <w:p>
            <w:pPr>
              <w:spacing w:after="0"/>
              <w:rPr>
                <w:sz w:val="6"/>
                <w:szCs w:val="6"/>
                <w:color w:val="auto"/>
              </w:rPr>
            </w:pPr>
          </w:p>
        </w:tc>
        <w:tc>
          <w:tcPr>
            <w:tcW w:w="580" w:type="dxa"/>
            <w:vAlign w:val="bottom"/>
            <w:tcBorders>
              <w:bottom w:val="single" w:sz="8" w:color="E6E6E6"/>
            </w:tcBorders>
            <w:vMerge w:val="continue"/>
            <w:shd w:val="clear" w:color="auto" w:fill="EDFAEC"/>
          </w:tcPr>
          <w:p>
            <w:pPr>
              <w:spacing w:after="0"/>
              <w:rPr>
                <w:sz w:val="6"/>
                <w:szCs w:val="6"/>
                <w:color w:val="auto"/>
              </w:rPr>
            </w:pPr>
          </w:p>
        </w:tc>
        <w:tc>
          <w:tcPr>
            <w:tcW w:w="820" w:type="dxa"/>
            <w:vAlign w:val="bottom"/>
            <w:tcBorders>
              <w:bottom w:val="single" w:sz="8" w:color="E6E6E6"/>
            </w:tcBorders>
            <w:vMerge w:val="continue"/>
            <w:shd w:val="clear" w:color="auto" w:fill="EDFAEC"/>
          </w:tcPr>
          <w:p>
            <w:pPr>
              <w:spacing w:after="0"/>
              <w:rPr>
                <w:sz w:val="6"/>
                <w:szCs w:val="6"/>
                <w:color w:val="auto"/>
              </w:rPr>
            </w:pPr>
          </w:p>
        </w:tc>
        <w:tc>
          <w:tcPr>
            <w:tcW w:w="880" w:type="dxa"/>
            <w:vAlign w:val="bottom"/>
            <w:tcBorders>
              <w:bottom w:val="single" w:sz="8" w:color="E6E6E6"/>
            </w:tcBorders>
            <w:vMerge w:val="continue"/>
            <w:shd w:val="clear" w:color="auto" w:fill="EDFAEC"/>
          </w:tcPr>
          <w:p>
            <w:pPr>
              <w:spacing w:after="0"/>
              <w:rPr>
                <w:sz w:val="6"/>
                <w:szCs w:val="6"/>
                <w:color w:val="auto"/>
              </w:rPr>
            </w:pPr>
          </w:p>
        </w:tc>
        <w:tc>
          <w:tcPr>
            <w:tcW w:w="900" w:type="dxa"/>
            <w:vAlign w:val="bottom"/>
            <w:tcBorders>
              <w:bottom w:val="single" w:sz="8" w:color="E6E6E6"/>
            </w:tcBorders>
            <w:vMerge w:val="continue"/>
            <w:shd w:val="clear" w:color="auto" w:fill="EDFAEC"/>
          </w:tcPr>
          <w:p>
            <w:pPr>
              <w:spacing w:after="0"/>
              <w:rPr>
                <w:sz w:val="6"/>
                <w:szCs w:val="6"/>
                <w:color w:val="auto"/>
              </w:rPr>
            </w:pPr>
          </w:p>
        </w:tc>
        <w:tc>
          <w:tcPr>
            <w:tcW w:w="860" w:type="dxa"/>
            <w:vAlign w:val="bottom"/>
            <w:tcBorders>
              <w:bottom w:val="single" w:sz="8" w:color="E6E6E6"/>
            </w:tcBorders>
            <w:vMerge w:val="continue"/>
            <w:shd w:val="clear" w:color="auto" w:fill="EDFAEC"/>
          </w:tcPr>
          <w:p>
            <w:pPr>
              <w:spacing w:after="0"/>
              <w:rPr>
                <w:sz w:val="6"/>
                <w:szCs w:val="6"/>
                <w:color w:val="auto"/>
              </w:rPr>
            </w:pPr>
          </w:p>
        </w:tc>
        <w:tc>
          <w:tcPr>
            <w:tcW w:w="900" w:type="dxa"/>
            <w:vAlign w:val="bottom"/>
            <w:tcBorders>
              <w:bottom w:val="single" w:sz="8" w:color="E6E6E6"/>
            </w:tcBorders>
            <w:vMerge w:val="continue"/>
            <w:shd w:val="clear" w:color="auto" w:fill="EDFAEC"/>
          </w:tcPr>
          <w:p>
            <w:pPr>
              <w:spacing w:after="0"/>
              <w:rPr>
                <w:sz w:val="6"/>
                <w:szCs w:val="6"/>
                <w:color w:val="auto"/>
              </w:rPr>
            </w:pPr>
          </w:p>
        </w:tc>
        <w:tc>
          <w:tcPr>
            <w:tcW w:w="1080" w:type="dxa"/>
            <w:vAlign w:val="bottom"/>
            <w:tcBorders>
              <w:bottom w:val="single" w:sz="8" w:color="E6E6E6"/>
            </w:tcBorders>
            <w:vMerge w:val="continue"/>
            <w:shd w:val="clear" w:color="auto" w:fill="EDFAEC"/>
          </w:tcPr>
          <w:p>
            <w:pPr>
              <w:spacing w:after="0"/>
              <w:rPr>
                <w:sz w:val="6"/>
                <w:szCs w:val="6"/>
                <w:color w:val="auto"/>
              </w:rPr>
            </w:pPr>
          </w:p>
        </w:tc>
        <w:tc>
          <w:tcPr>
            <w:tcW w:w="880" w:type="dxa"/>
            <w:vAlign w:val="bottom"/>
            <w:tcBorders>
              <w:bottom w:val="single" w:sz="8" w:color="E6E6E6"/>
            </w:tcBorders>
            <w:vMerge w:val="continue"/>
            <w:shd w:val="clear" w:color="auto" w:fill="EDFAEC"/>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80"/>
              <w:spacing w:after="0"/>
              <w:rPr>
                <w:sz w:val="20"/>
                <w:szCs w:val="20"/>
                <w:color w:val="auto"/>
              </w:rPr>
            </w:pPr>
            <w:r>
              <w:rPr>
                <w:rFonts w:ascii="Arial" w:cs="Arial" w:eastAsia="Arial" w:hAnsi="Arial"/>
                <w:sz w:val="14"/>
                <w:szCs w:val="14"/>
                <w:b w:val="1"/>
                <w:bCs w:val="1"/>
                <w:color w:val="431C5B"/>
              </w:rPr>
              <w:t>James Kehoe</w:t>
            </w:r>
          </w:p>
        </w:tc>
        <w:tc>
          <w:tcPr>
            <w:tcW w:w="580" w:type="dxa"/>
            <w:vAlign w:val="bottom"/>
          </w:tcPr>
          <w:p>
            <w:pPr>
              <w:jc w:val="right"/>
              <w:spacing w:after="0"/>
              <w:rPr>
                <w:sz w:val="20"/>
                <w:szCs w:val="20"/>
                <w:color w:val="auto"/>
              </w:rPr>
            </w:pPr>
            <w:r>
              <w:rPr>
                <w:rFonts w:ascii="Arial" w:cs="Arial" w:eastAsia="Arial" w:hAnsi="Arial"/>
                <w:sz w:val="14"/>
                <w:szCs w:val="14"/>
                <w:color w:val="auto"/>
              </w:rPr>
              <w:t>2025</w:t>
            </w:r>
          </w:p>
        </w:tc>
        <w:tc>
          <w:tcPr>
            <w:tcW w:w="820" w:type="dxa"/>
            <w:vAlign w:val="bottom"/>
          </w:tcPr>
          <w:p>
            <w:pPr>
              <w:jc w:val="right"/>
              <w:spacing w:after="0"/>
              <w:rPr>
                <w:sz w:val="20"/>
                <w:szCs w:val="20"/>
                <w:color w:val="auto"/>
              </w:rPr>
            </w:pPr>
            <w:r>
              <w:rPr>
                <w:rFonts w:ascii="Arial" w:cs="Arial" w:eastAsia="Arial" w:hAnsi="Arial"/>
                <w:sz w:val="14"/>
                <w:szCs w:val="14"/>
                <w:color w:val="auto"/>
              </w:rPr>
              <w:t>975,000</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6,078,310</w:t>
            </w:r>
          </w:p>
        </w:tc>
        <w:tc>
          <w:tcPr>
            <w:tcW w:w="8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4"/>
              <w:spacing w:after="0"/>
              <w:rPr>
                <w:sz w:val="20"/>
                <w:szCs w:val="20"/>
                <w:color w:val="auto"/>
              </w:rPr>
            </w:pPr>
            <w:r>
              <w:rPr>
                <w:rFonts w:ascii="Arial" w:cs="Arial" w:eastAsia="Arial" w:hAnsi="Arial"/>
                <w:sz w:val="14"/>
                <w:szCs w:val="14"/>
                <w:color w:val="auto"/>
              </w:rPr>
              <w:t>1,462,500</w:t>
            </w: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10,500</w:t>
            </w:r>
          </w:p>
        </w:tc>
        <w:tc>
          <w:tcPr>
            <w:tcW w:w="880" w:type="dxa"/>
            <w:vAlign w:val="bottom"/>
          </w:tcPr>
          <w:p>
            <w:pPr>
              <w:jc w:val="right"/>
              <w:spacing w:after="0"/>
              <w:rPr>
                <w:sz w:val="20"/>
                <w:szCs w:val="20"/>
                <w:color w:val="auto"/>
              </w:rPr>
            </w:pPr>
            <w:r>
              <w:rPr>
                <w:rFonts w:ascii="Arial" w:cs="Arial" w:eastAsia="Arial" w:hAnsi="Arial"/>
                <w:sz w:val="14"/>
                <w:szCs w:val="14"/>
                <w:color w:val="auto"/>
              </w:rPr>
              <w:t>8,526,310</w:t>
            </w:r>
          </w:p>
        </w:tc>
        <w:tc>
          <w:tcPr>
            <w:tcW w:w="0" w:type="dxa"/>
            <w:vAlign w:val="bottom"/>
          </w:tcPr>
          <w:p>
            <w:pPr>
              <w:spacing w:after="0"/>
              <w:rPr>
                <w:sz w:val="1"/>
                <w:szCs w:val="1"/>
                <w:color w:val="auto"/>
              </w:rPr>
            </w:pPr>
          </w:p>
        </w:tc>
      </w:tr>
      <w:tr>
        <w:trPr>
          <w:trHeight w:val="23"/>
        </w:trPr>
        <w:tc>
          <w:tcPr>
            <w:tcW w:w="1860" w:type="dxa"/>
            <w:vAlign w:val="bottom"/>
            <w:vMerge w:val="restart"/>
          </w:tcPr>
          <w:p>
            <w:pPr>
              <w:ind w:left="80"/>
              <w:spacing w:after="0"/>
              <w:rPr>
                <w:sz w:val="20"/>
                <w:szCs w:val="20"/>
                <w:color w:val="auto"/>
              </w:rPr>
            </w:pPr>
            <w:r>
              <w:rPr>
                <w:rFonts w:ascii="Arial" w:cs="Arial" w:eastAsia="Arial" w:hAnsi="Arial"/>
                <w:sz w:val="14"/>
                <w:szCs w:val="14"/>
                <w:color w:val="auto"/>
              </w:rPr>
              <w:t>Corporate Executive</w:t>
            </w:r>
          </w:p>
        </w:tc>
        <w:tc>
          <w:tcPr>
            <w:tcW w:w="580" w:type="dxa"/>
            <w:vAlign w:val="bottom"/>
            <w:tcBorders>
              <w:bottom w:val="single" w:sz="8" w:color="E6E6E6"/>
            </w:tcBorders>
          </w:tcPr>
          <w:p>
            <w:pPr>
              <w:spacing w:after="0" w:line="20" w:lineRule="exact"/>
              <w:rPr>
                <w:sz w:val="1"/>
                <w:szCs w:val="1"/>
                <w:color w:val="auto"/>
              </w:rPr>
            </w:pPr>
          </w:p>
        </w:tc>
        <w:tc>
          <w:tcPr>
            <w:tcW w:w="820" w:type="dxa"/>
            <w:vAlign w:val="bottom"/>
            <w:tcBorders>
              <w:bottom w:val="single" w:sz="8" w:color="E6E6E6"/>
            </w:tcBorders>
          </w:tcPr>
          <w:p>
            <w:pPr>
              <w:spacing w:after="0" w:line="20" w:lineRule="exact"/>
              <w:rPr>
                <w:sz w:val="1"/>
                <w:szCs w:val="1"/>
                <w:color w:val="auto"/>
              </w:rPr>
            </w:pPr>
          </w:p>
        </w:tc>
        <w:tc>
          <w:tcPr>
            <w:tcW w:w="880" w:type="dxa"/>
            <w:vAlign w:val="bottom"/>
            <w:tcBorders>
              <w:bottom w:val="single" w:sz="8" w:color="E6E6E6"/>
            </w:tcBorders>
          </w:tcPr>
          <w:p>
            <w:pPr>
              <w:spacing w:after="0" w:line="20" w:lineRule="exact"/>
              <w:rPr>
                <w:sz w:val="1"/>
                <w:szCs w:val="1"/>
                <w:color w:val="auto"/>
              </w:rPr>
            </w:pPr>
          </w:p>
        </w:tc>
        <w:tc>
          <w:tcPr>
            <w:tcW w:w="900" w:type="dxa"/>
            <w:vAlign w:val="bottom"/>
            <w:tcBorders>
              <w:bottom w:val="single" w:sz="8" w:color="E6E6E6"/>
            </w:tcBorders>
          </w:tcPr>
          <w:p>
            <w:pPr>
              <w:spacing w:after="0" w:line="20" w:lineRule="exact"/>
              <w:rPr>
                <w:sz w:val="1"/>
                <w:szCs w:val="1"/>
                <w:color w:val="auto"/>
              </w:rPr>
            </w:pPr>
          </w:p>
        </w:tc>
        <w:tc>
          <w:tcPr>
            <w:tcW w:w="860" w:type="dxa"/>
            <w:vAlign w:val="bottom"/>
            <w:tcBorders>
              <w:bottom w:val="single" w:sz="8" w:color="E6E6E6"/>
            </w:tcBorders>
          </w:tcPr>
          <w:p>
            <w:pPr>
              <w:spacing w:after="0" w:line="20" w:lineRule="exact"/>
              <w:rPr>
                <w:sz w:val="1"/>
                <w:szCs w:val="1"/>
                <w:color w:val="auto"/>
              </w:rPr>
            </w:pPr>
          </w:p>
        </w:tc>
        <w:tc>
          <w:tcPr>
            <w:tcW w:w="900" w:type="dxa"/>
            <w:vAlign w:val="bottom"/>
            <w:tcBorders>
              <w:bottom w:val="single" w:sz="8" w:color="E6E6E6"/>
            </w:tcBorders>
          </w:tcPr>
          <w:p>
            <w:pPr>
              <w:spacing w:after="0" w:line="20" w:lineRule="exact"/>
              <w:rPr>
                <w:sz w:val="1"/>
                <w:szCs w:val="1"/>
                <w:color w:val="auto"/>
              </w:rPr>
            </w:pPr>
          </w:p>
        </w:tc>
        <w:tc>
          <w:tcPr>
            <w:tcW w:w="1080" w:type="dxa"/>
            <w:vAlign w:val="bottom"/>
            <w:tcBorders>
              <w:bottom w:val="single" w:sz="8" w:color="E6E6E6"/>
            </w:tcBorders>
          </w:tcPr>
          <w:p>
            <w:pPr>
              <w:spacing w:after="0" w:line="20" w:lineRule="exact"/>
              <w:rPr>
                <w:sz w:val="1"/>
                <w:szCs w:val="1"/>
                <w:color w:val="auto"/>
              </w:rPr>
            </w:pPr>
          </w:p>
        </w:tc>
        <w:tc>
          <w:tcPr>
            <w:tcW w:w="880" w:type="dxa"/>
            <w:vAlign w:val="bottom"/>
            <w:tcBorders>
              <w:bottom w:val="single" w:sz="8" w:color="E6E6E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860" w:type="dxa"/>
            <w:vAlign w:val="bottom"/>
            <w:vMerge w:val="continue"/>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2024</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975,000</w:t>
            </w:r>
          </w:p>
        </w:tc>
        <w:tc>
          <w:tcPr>
            <w:tcW w:w="880" w:type="dxa"/>
            <w:vAlign w:val="bottom"/>
          </w:tcPr>
          <w:p>
            <w:pPr>
              <w:jc w:val="right"/>
              <w:ind w:right="53"/>
              <w:spacing w:after="0" w:line="14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3"/>
              <w:spacing w:after="0" w:line="142" w:lineRule="exact"/>
              <w:rPr>
                <w:sz w:val="20"/>
                <w:szCs w:val="20"/>
                <w:color w:val="auto"/>
              </w:rPr>
            </w:pPr>
            <w:r>
              <w:rPr>
                <w:rFonts w:ascii="Arial" w:cs="Arial" w:eastAsia="Arial" w:hAnsi="Arial"/>
                <w:sz w:val="14"/>
                <w:szCs w:val="14"/>
                <w:color w:val="auto"/>
              </w:rPr>
              <w:t>6,312,006</w:t>
            </w:r>
          </w:p>
        </w:tc>
        <w:tc>
          <w:tcPr>
            <w:tcW w:w="860" w:type="dxa"/>
            <w:vAlign w:val="bottom"/>
          </w:tcPr>
          <w:p>
            <w:pPr>
              <w:spacing w:after="0"/>
              <w:rPr>
                <w:sz w:val="12"/>
                <w:szCs w:val="12"/>
                <w:color w:val="auto"/>
              </w:rPr>
            </w:pPr>
          </w:p>
        </w:tc>
        <w:tc>
          <w:tcPr>
            <w:tcW w:w="900" w:type="dxa"/>
            <w:vAlign w:val="bottom"/>
          </w:tcPr>
          <w:p>
            <w:pPr>
              <w:jc w:val="right"/>
              <w:ind w:right="54"/>
              <w:spacing w:after="0" w:line="142" w:lineRule="exact"/>
              <w:rPr>
                <w:sz w:val="20"/>
                <w:szCs w:val="20"/>
                <w:color w:val="auto"/>
              </w:rPr>
            </w:pPr>
            <w:r>
              <w:rPr>
                <w:rFonts w:ascii="Arial" w:cs="Arial" w:eastAsia="Arial" w:hAnsi="Arial"/>
                <w:sz w:val="14"/>
                <w:szCs w:val="14"/>
                <w:color w:val="auto"/>
              </w:rPr>
              <w:t>1,402,538</w:t>
            </w:r>
          </w:p>
        </w:tc>
        <w:tc>
          <w:tcPr>
            <w:tcW w:w="1080" w:type="dxa"/>
            <w:vAlign w:val="bottom"/>
          </w:tcPr>
          <w:p>
            <w:pPr>
              <w:jc w:val="right"/>
              <w:ind w:right="53"/>
              <w:spacing w:after="0" w:line="142" w:lineRule="exact"/>
              <w:rPr>
                <w:sz w:val="20"/>
                <w:szCs w:val="20"/>
                <w:color w:val="auto"/>
              </w:rPr>
            </w:pPr>
            <w:r>
              <w:rPr>
                <w:rFonts w:ascii="Arial" w:cs="Arial" w:eastAsia="Arial" w:hAnsi="Arial"/>
                <w:sz w:val="14"/>
                <w:szCs w:val="14"/>
                <w:color w:val="auto"/>
              </w:rPr>
              <w:t>10,350</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8,699,894</w:t>
            </w:r>
          </w:p>
        </w:tc>
        <w:tc>
          <w:tcPr>
            <w:tcW w:w="0" w:type="dxa"/>
            <w:vAlign w:val="bottom"/>
          </w:tcPr>
          <w:p>
            <w:pPr>
              <w:spacing w:after="0"/>
              <w:rPr>
                <w:sz w:val="1"/>
                <w:szCs w:val="1"/>
                <w:color w:val="auto"/>
              </w:rPr>
            </w:pPr>
          </w:p>
        </w:tc>
      </w:tr>
      <w:tr>
        <w:trPr>
          <w:trHeight w:val="68"/>
        </w:trPr>
        <w:tc>
          <w:tcPr>
            <w:tcW w:w="1860" w:type="dxa"/>
            <w:vAlign w:val="bottom"/>
            <w:vMerge w:val="restart"/>
          </w:tcPr>
          <w:p>
            <w:pPr>
              <w:ind w:left="80"/>
              <w:spacing w:after="0" w:line="153" w:lineRule="exact"/>
              <w:rPr>
                <w:sz w:val="20"/>
                <w:szCs w:val="20"/>
                <w:color w:val="auto"/>
              </w:rPr>
            </w:pPr>
            <w:r>
              <w:rPr>
                <w:rFonts w:ascii="Arial" w:cs="Arial" w:eastAsia="Arial" w:hAnsi="Arial"/>
                <w:sz w:val="14"/>
                <w:szCs w:val="14"/>
                <w:color w:val="auto"/>
              </w:rPr>
              <w:t>Vice President and</w:t>
            </w:r>
          </w:p>
        </w:tc>
        <w:tc>
          <w:tcPr>
            <w:tcW w:w="580" w:type="dxa"/>
            <w:vAlign w:val="bottom"/>
            <w:tcBorders>
              <w:bottom w:val="single" w:sz="8" w:color="E6E6E6"/>
            </w:tcBorders>
          </w:tcPr>
          <w:p>
            <w:pPr>
              <w:spacing w:after="0"/>
              <w:rPr>
                <w:sz w:val="5"/>
                <w:szCs w:val="5"/>
                <w:color w:val="auto"/>
              </w:rPr>
            </w:pPr>
          </w:p>
        </w:tc>
        <w:tc>
          <w:tcPr>
            <w:tcW w:w="820" w:type="dxa"/>
            <w:vAlign w:val="bottom"/>
            <w:tcBorders>
              <w:bottom w:val="single" w:sz="8" w:color="E6E6E6"/>
            </w:tcBorders>
          </w:tcPr>
          <w:p>
            <w:pPr>
              <w:spacing w:after="0"/>
              <w:rPr>
                <w:sz w:val="5"/>
                <w:szCs w:val="5"/>
                <w:color w:val="auto"/>
              </w:rPr>
            </w:pPr>
          </w:p>
        </w:tc>
        <w:tc>
          <w:tcPr>
            <w:tcW w:w="880" w:type="dxa"/>
            <w:vAlign w:val="bottom"/>
            <w:tcBorders>
              <w:bottom w:val="single" w:sz="8" w:color="E6E6E6"/>
            </w:tcBorders>
          </w:tcPr>
          <w:p>
            <w:pPr>
              <w:spacing w:after="0"/>
              <w:rPr>
                <w:sz w:val="5"/>
                <w:szCs w:val="5"/>
                <w:color w:val="auto"/>
              </w:rPr>
            </w:pPr>
          </w:p>
        </w:tc>
        <w:tc>
          <w:tcPr>
            <w:tcW w:w="900" w:type="dxa"/>
            <w:vAlign w:val="bottom"/>
            <w:tcBorders>
              <w:bottom w:val="single" w:sz="8" w:color="E6E6E6"/>
            </w:tcBorders>
          </w:tcPr>
          <w:p>
            <w:pPr>
              <w:spacing w:after="0"/>
              <w:rPr>
                <w:sz w:val="5"/>
                <w:szCs w:val="5"/>
                <w:color w:val="auto"/>
              </w:rPr>
            </w:pPr>
          </w:p>
        </w:tc>
        <w:tc>
          <w:tcPr>
            <w:tcW w:w="860" w:type="dxa"/>
            <w:vAlign w:val="bottom"/>
            <w:tcBorders>
              <w:bottom w:val="single" w:sz="8" w:color="E6E6E6"/>
            </w:tcBorders>
          </w:tcPr>
          <w:p>
            <w:pPr>
              <w:spacing w:after="0"/>
              <w:rPr>
                <w:sz w:val="5"/>
                <w:szCs w:val="5"/>
                <w:color w:val="auto"/>
              </w:rPr>
            </w:pPr>
          </w:p>
        </w:tc>
        <w:tc>
          <w:tcPr>
            <w:tcW w:w="900" w:type="dxa"/>
            <w:vAlign w:val="bottom"/>
            <w:tcBorders>
              <w:bottom w:val="single" w:sz="8" w:color="E6E6E6"/>
            </w:tcBorders>
          </w:tcPr>
          <w:p>
            <w:pPr>
              <w:spacing w:after="0"/>
              <w:rPr>
                <w:sz w:val="5"/>
                <w:szCs w:val="5"/>
                <w:color w:val="auto"/>
              </w:rPr>
            </w:pPr>
          </w:p>
        </w:tc>
        <w:tc>
          <w:tcPr>
            <w:tcW w:w="1080" w:type="dxa"/>
            <w:vAlign w:val="bottom"/>
            <w:tcBorders>
              <w:bottom w:val="single" w:sz="8" w:color="E6E6E6"/>
            </w:tcBorders>
          </w:tcPr>
          <w:p>
            <w:pPr>
              <w:spacing w:after="0"/>
              <w:rPr>
                <w:sz w:val="5"/>
                <w:szCs w:val="5"/>
                <w:color w:val="auto"/>
              </w:rPr>
            </w:pPr>
          </w:p>
        </w:tc>
        <w:tc>
          <w:tcPr>
            <w:tcW w:w="880" w:type="dxa"/>
            <w:vAlign w:val="bottom"/>
            <w:tcBorders>
              <w:bottom w:val="single" w:sz="8" w:color="E6E6E6"/>
            </w:tcBorders>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860" w:type="dxa"/>
            <w:vAlign w:val="bottom"/>
            <w:vMerge w:val="continue"/>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355,469</w:t>
            </w: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color w:val="auto"/>
              </w:rPr>
              <w:t>1,700,000</w:t>
            </w:r>
          </w:p>
        </w:tc>
        <w:tc>
          <w:tcPr>
            <w:tcW w:w="900" w:type="dxa"/>
            <w:vAlign w:val="bottom"/>
            <w:vMerge w:val="restart"/>
          </w:tcPr>
          <w:p>
            <w:pPr>
              <w:jc w:val="right"/>
              <w:ind w:right="33"/>
              <w:spacing w:after="0"/>
              <w:rPr>
                <w:sz w:val="20"/>
                <w:szCs w:val="20"/>
                <w:color w:val="auto"/>
              </w:rPr>
            </w:pPr>
            <w:r>
              <w:rPr>
                <w:rFonts w:ascii="Arial" w:cs="Arial" w:eastAsia="Arial" w:hAnsi="Arial"/>
                <w:sz w:val="14"/>
                <w:szCs w:val="14"/>
                <w:color w:val="auto"/>
              </w:rPr>
              <w:t>9,999,986</w:t>
            </w:r>
          </w:p>
        </w:tc>
        <w:tc>
          <w:tcPr>
            <w:tcW w:w="86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54"/>
              <w:spacing w:after="0"/>
              <w:rPr>
                <w:sz w:val="20"/>
                <w:szCs w:val="20"/>
                <w:color w:val="auto"/>
              </w:rPr>
            </w:pPr>
            <w:r>
              <w:rPr>
                <w:rFonts w:ascii="Arial" w:cs="Arial" w:eastAsia="Arial" w:hAnsi="Arial"/>
                <w:sz w:val="14"/>
                <w:szCs w:val="14"/>
                <w:color w:val="auto"/>
              </w:rPr>
              <w:t>761,056</w:t>
            </w:r>
          </w:p>
        </w:tc>
        <w:tc>
          <w:tcPr>
            <w:tcW w:w="1080" w:type="dxa"/>
            <w:vAlign w:val="bottom"/>
            <w:vMerge w:val="restart"/>
          </w:tcPr>
          <w:p>
            <w:pPr>
              <w:jc w:val="right"/>
              <w:ind w:right="53"/>
              <w:spacing w:after="0"/>
              <w:rPr>
                <w:sz w:val="20"/>
                <w:szCs w:val="20"/>
                <w:color w:val="auto"/>
              </w:rPr>
            </w:pPr>
            <w:r>
              <w:rPr>
                <w:rFonts w:ascii="Arial" w:cs="Arial" w:eastAsia="Arial" w:hAnsi="Arial"/>
                <w:sz w:val="14"/>
                <w:szCs w:val="14"/>
                <w:color w:val="auto"/>
              </w:rPr>
              <w:t>35,586</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12,852,097</w:t>
            </w:r>
          </w:p>
        </w:tc>
        <w:tc>
          <w:tcPr>
            <w:tcW w:w="0" w:type="dxa"/>
            <w:vAlign w:val="bottom"/>
          </w:tcPr>
          <w:p>
            <w:pPr>
              <w:spacing w:after="0"/>
              <w:rPr>
                <w:sz w:val="1"/>
                <w:szCs w:val="1"/>
                <w:color w:val="auto"/>
              </w:rPr>
            </w:pPr>
          </w:p>
        </w:tc>
      </w:tr>
      <w:tr>
        <w:trPr>
          <w:trHeight w:val="123"/>
        </w:trPr>
        <w:tc>
          <w:tcPr>
            <w:tcW w:w="1860" w:type="dxa"/>
            <w:vAlign w:val="bottom"/>
            <w:vMerge w:val="restart"/>
          </w:tcPr>
          <w:p>
            <w:pPr>
              <w:ind w:left="80"/>
              <w:spacing w:after="0"/>
              <w:rPr>
                <w:sz w:val="20"/>
                <w:szCs w:val="20"/>
                <w:color w:val="auto"/>
              </w:rPr>
            </w:pPr>
            <w:r>
              <w:rPr>
                <w:rFonts w:ascii="Arial" w:cs="Arial" w:eastAsia="Arial" w:hAnsi="Arial"/>
                <w:sz w:val="14"/>
                <w:szCs w:val="14"/>
                <w:color w:val="auto"/>
              </w:rPr>
              <w:t>Chief Financial Officer</w:t>
            </w:r>
          </w:p>
        </w:tc>
        <w:tc>
          <w:tcPr>
            <w:tcW w:w="5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860" w:type="dxa"/>
            <w:vAlign w:val="bottom"/>
            <w:tcBorders>
              <w:bottom w:val="single" w:sz="8" w:color="E6E6E6"/>
            </w:tcBorders>
          </w:tcPr>
          <w:p>
            <w:pPr>
              <w:spacing w:after="0"/>
              <w:rPr>
                <w:sz w:val="3"/>
                <w:szCs w:val="3"/>
                <w:color w:val="auto"/>
              </w:rPr>
            </w:pPr>
          </w:p>
        </w:tc>
        <w:tc>
          <w:tcPr>
            <w:tcW w:w="580" w:type="dxa"/>
            <w:vAlign w:val="bottom"/>
            <w:tcBorders>
              <w:bottom w:val="single" w:sz="8" w:color="E6E6E6"/>
            </w:tcBorders>
          </w:tcPr>
          <w:p>
            <w:pPr>
              <w:spacing w:after="0"/>
              <w:rPr>
                <w:sz w:val="3"/>
                <w:szCs w:val="3"/>
                <w:color w:val="auto"/>
              </w:rPr>
            </w:pPr>
          </w:p>
        </w:tc>
        <w:tc>
          <w:tcPr>
            <w:tcW w:w="820" w:type="dxa"/>
            <w:vAlign w:val="bottom"/>
            <w:tcBorders>
              <w:bottom w:val="single" w:sz="8" w:color="E6E6E6"/>
            </w:tcBorders>
          </w:tcPr>
          <w:p>
            <w:pPr>
              <w:spacing w:after="0"/>
              <w:rPr>
                <w:sz w:val="3"/>
                <w:szCs w:val="3"/>
                <w:color w:val="auto"/>
              </w:rPr>
            </w:pPr>
          </w:p>
        </w:tc>
        <w:tc>
          <w:tcPr>
            <w:tcW w:w="880" w:type="dxa"/>
            <w:vAlign w:val="bottom"/>
            <w:tcBorders>
              <w:bottom w:val="single" w:sz="8" w:color="E6E6E6"/>
            </w:tcBorders>
          </w:tcPr>
          <w:p>
            <w:pPr>
              <w:spacing w:after="0"/>
              <w:rPr>
                <w:sz w:val="3"/>
                <w:szCs w:val="3"/>
                <w:color w:val="auto"/>
              </w:rPr>
            </w:pPr>
          </w:p>
        </w:tc>
        <w:tc>
          <w:tcPr>
            <w:tcW w:w="900" w:type="dxa"/>
            <w:vAlign w:val="bottom"/>
            <w:tcBorders>
              <w:bottom w:val="single" w:sz="8" w:color="E6E6E6"/>
            </w:tcBorders>
          </w:tcPr>
          <w:p>
            <w:pPr>
              <w:spacing w:after="0"/>
              <w:rPr>
                <w:sz w:val="3"/>
                <w:szCs w:val="3"/>
                <w:color w:val="auto"/>
              </w:rPr>
            </w:pPr>
          </w:p>
        </w:tc>
        <w:tc>
          <w:tcPr>
            <w:tcW w:w="860" w:type="dxa"/>
            <w:vAlign w:val="bottom"/>
            <w:tcBorders>
              <w:bottom w:val="single" w:sz="8" w:color="E6E6E6"/>
            </w:tcBorders>
          </w:tcPr>
          <w:p>
            <w:pPr>
              <w:spacing w:after="0"/>
              <w:rPr>
                <w:sz w:val="3"/>
                <w:szCs w:val="3"/>
                <w:color w:val="auto"/>
              </w:rPr>
            </w:pPr>
          </w:p>
        </w:tc>
        <w:tc>
          <w:tcPr>
            <w:tcW w:w="900" w:type="dxa"/>
            <w:vAlign w:val="bottom"/>
            <w:tcBorders>
              <w:bottom w:val="single" w:sz="8" w:color="E6E6E6"/>
            </w:tcBorders>
          </w:tcPr>
          <w:p>
            <w:pPr>
              <w:spacing w:after="0"/>
              <w:rPr>
                <w:sz w:val="3"/>
                <w:szCs w:val="3"/>
                <w:color w:val="auto"/>
              </w:rPr>
            </w:pPr>
          </w:p>
        </w:tc>
        <w:tc>
          <w:tcPr>
            <w:tcW w:w="1080" w:type="dxa"/>
            <w:vAlign w:val="bottom"/>
            <w:tcBorders>
              <w:bottom w:val="single" w:sz="8" w:color="E6E6E6"/>
            </w:tcBorders>
          </w:tcPr>
          <w:p>
            <w:pPr>
              <w:spacing w:after="0"/>
              <w:rPr>
                <w:sz w:val="3"/>
                <w:szCs w:val="3"/>
                <w:color w:val="auto"/>
              </w:rPr>
            </w:pPr>
          </w:p>
        </w:tc>
        <w:tc>
          <w:tcPr>
            <w:tcW w:w="880" w:type="dxa"/>
            <w:vAlign w:val="bottom"/>
            <w:tcBorders>
              <w:bottom w:val="single" w:sz="8" w:color="E6E6E6"/>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86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b w:val="1"/>
                <w:bCs w:val="1"/>
                <w:color w:val="431C5B"/>
              </w:rPr>
              <w:t>Firdaus Bhathena</w:t>
            </w:r>
          </w:p>
        </w:tc>
        <w:tc>
          <w:tcPr>
            <w:tcW w:w="58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2025</w:t>
            </w:r>
          </w:p>
        </w:tc>
        <w:tc>
          <w:tcPr>
            <w:tcW w:w="8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700,000</w:t>
            </w:r>
          </w:p>
        </w:tc>
        <w:tc>
          <w:tcPr>
            <w:tcW w:w="880" w:type="dxa"/>
            <w:vAlign w:val="bottom"/>
            <w:tcBorders>
              <w:bottom w:val="single" w:sz="8" w:color="EDFAEC"/>
            </w:tcBorders>
            <w:shd w:val="clear" w:color="auto" w:fill="EDFAEC"/>
          </w:tcPr>
          <w:p>
            <w:pPr>
              <w:jc w:val="right"/>
              <w:ind w:right="53"/>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DFAEC"/>
            </w:tcBorders>
            <w:shd w:val="clear" w:color="auto" w:fill="EDFAEC"/>
          </w:tcPr>
          <w:p>
            <w:pPr>
              <w:jc w:val="right"/>
              <w:ind w:right="33"/>
              <w:spacing w:after="0"/>
              <w:rPr>
                <w:sz w:val="20"/>
                <w:szCs w:val="20"/>
                <w:color w:val="auto"/>
              </w:rPr>
            </w:pPr>
            <w:r>
              <w:rPr>
                <w:rFonts w:ascii="Arial" w:cs="Arial" w:eastAsia="Arial" w:hAnsi="Arial"/>
                <w:sz w:val="14"/>
                <w:szCs w:val="14"/>
                <w:color w:val="auto"/>
              </w:rPr>
              <w:t>4,040,163</w:t>
            </w:r>
          </w:p>
        </w:tc>
        <w:tc>
          <w:tcPr>
            <w:tcW w:w="860" w:type="dxa"/>
            <w:vAlign w:val="bottom"/>
            <w:tcBorders>
              <w:bottom w:val="single" w:sz="8" w:color="EDFAEC"/>
            </w:tcBorders>
            <w:shd w:val="clear" w:color="auto" w:fill="EDFAEC"/>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DFAEC"/>
            </w:tcBorders>
            <w:shd w:val="clear" w:color="auto" w:fill="EDFAEC"/>
          </w:tcPr>
          <w:p>
            <w:pPr>
              <w:jc w:val="right"/>
              <w:ind w:right="54"/>
              <w:spacing w:after="0"/>
              <w:rPr>
                <w:sz w:val="20"/>
                <w:szCs w:val="20"/>
                <w:color w:val="auto"/>
              </w:rPr>
            </w:pPr>
            <w:r>
              <w:rPr>
                <w:rFonts w:ascii="Arial" w:cs="Arial" w:eastAsia="Arial" w:hAnsi="Arial"/>
                <w:sz w:val="14"/>
                <w:szCs w:val="14"/>
                <w:color w:val="auto"/>
              </w:rPr>
              <w:t>980,000</w:t>
            </w:r>
          </w:p>
        </w:tc>
        <w:tc>
          <w:tcPr>
            <w:tcW w:w="1080" w:type="dxa"/>
            <w:vAlign w:val="bottom"/>
            <w:tcBorders>
              <w:bottom w:val="single" w:sz="8" w:color="EDFAEC"/>
            </w:tcBorders>
            <w:shd w:val="clear" w:color="auto" w:fill="EDFAEC"/>
          </w:tcPr>
          <w:p>
            <w:pPr>
              <w:jc w:val="right"/>
              <w:ind w:right="53"/>
              <w:spacing w:after="0"/>
              <w:rPr>
                <w:sz w:val="20"/>
                <w:szCs w:val="20"/>
                <w:color w:val="auto"/>
              </w:rPr>
            </w:pPr>
            <w:r>
              <w:rPr>
                <w:rFonts w:ascii="Arial" w:cs="Arial" w:eastAsia="Arial" w:hAnsi="Arial"/>
                <w:sz w:val="14"/>
                <w:szCs w:val="14"/>
                <w:color w:val="auto"/>
              </w:rPr>
              <w:t>10,500</w:t>
            </w:r>
          </w:p>
        </w:tc>
        <w:tc>
          <w:tcPr>
            <w:tcW w:w="88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5,730,663</w:t>
            </w:r>
          </w:p>
        </w:tc>
        <w:tc>
          <w:tcPr>
            <w:tcW w:w="0" w:type="dxa"/>
            <w:vAlign w:val="bottom"/>
          </w:tcPr>
          <w:p>
            <w:pPr>
              <w:spacing w:after="0"/>
              <w:rPr>
                <w:sz w:val="1"/>
                <w:szCs w:val="1"/>
                <w:color w:val="auto"/>
              </w:rPr>
            </w:pPr>
          </w:p>
        </w:tc>
      </w:tr>
      <w:tr>
        <w:trPr>
          <w:trHeight w:val="103"/>
        </w:trPr>
        <w:tc>
          <w:tcPr>
            <w:tcW w:w="1860" w:type="dxa"/>
            <w:vAlign w:val="bottom"/>
            <w:tcBorders>
              <w:top w:val="single" w:sz="8" w:color="EDFAEC"/>
            </w:tcBorders>
            <w:shd w:val="clear" w:color="auto" w:fill="EDFAEC"/>
          </w:tcPr>
          <w:p>
            <w:pPr>
              <w:ind w:left="80"/>
              <w:spacing w:after="0" w:line="104" w:lineRule="exact"/>
              <w:rPr>
                <w:sz w:val="20"/>
                <w:szCs w:val="20"/>
                <w:color w:val="auto"/>
              </w:rPr>
            </w:pPr>
            <w:r>
              <w:rPr>
                <w:rFonts w:ascii="Arial" w:cs="Arial" w:eastAsia="Arial" w:hAnsi="Arial"/>
                <w:sz w:val="11"/>
                <w:szCs w:val="11"/>
                <w:color w:val="auto"/>
              </w:rPr>
              <w:t>Former Chief Product</w:t>
            </w:r>
          </w:p>
        </w:tc>
        <w:tc>
          <w:tcPr>
            <w:tcW w:w="580" w:type="dxa"/>
            <w:vAlign w:val="bottom"/>
            <w:tcBorders>
              <w:top w:val="single" w:sz="8" w:color="E6E6E6"/>
            </w:tcBorders>
            <w:vMerge w:val="restart"/>
            <w:shd w:val="clear" w:color="auto" w:fill="EDFAEC"/>
          </w:tcPr>
          <w:p>
            <w:pPr>
              <w:jc w:val="right"/>
              <w:spacing w:after="0"/>
              <w:rPr>
                <w:sz w:val="20"/>
                <w:szCs w:val="20"/>
                <w:color w:val="auto"/>
              </w:rPr>
            </w:pPr>
            <w:r>
              <w:rPr>
                <w:rFonts w:ascii="Arial" w:cs="Arial" w:eastAsia="Arial" w:hAnsi="Arial"/>
                <w:sz w:val="14"/>
                <w:szCs w:val="14"/>
                <w:color w:val="auto"/>
              </w:rPr>
              <w:t>2024</w:t>
            </w:r>
          </w:p>
        </w:tc>
        <w:tc>
          <w:tcPr>
            <w:tcW w:w="820" w:type="dxa"/>
            <w:vAlign w:val="bottom"/>
            <w:tcBorders>
              <w:top w:val="single" w:sz="8" w:color="E6E6E6"/>
            </w:tcBorders>
            <w:vMerge w:val="restart"/>
            <w:shd w:val="clear" w:color="auto" w:fill="EDFAEC"/>
          </w:tcPr>
          <w:p>
            <w:pPr>
              <w:jc w:val="right"/>
              <w:spacing w:after="0"/>
              <w:rPr>
                <w:sz w:val="20"/>
                <w:szCs w:val="20"/>
                <w:color w:val="auto"/>
              </w:rPr>
            </w:pPr>
            <w:r>
              <w:rPr>
                <w:rFonts w:ascii="Arial" w:cs="Arial" w:eastAsia="Arial" w:hAnsi="Arial"/>
                <w:sz w:val="14"/>
                <w:szCs w:val="14"/>
                <w:color w:val="auto"/>
              </w:rPr>
              <w:t>700,000</w:t>
            </w:r>
          </w:p>
        </w:tc>
        <w:tc>
          <w:tcPr>
            <w:tcW w:w="880" w:type="dxa"/>
            <w:vAlign w:val="bottom"/>
            <w:tcBorders>
              <w:top w:val="single" w:sz="8" w:color="E6E6E6"/>
            </w:tcBorders>
            <w:vMerge w:val="restart"/>
            <w:shd w:val="clear" w:color="auto" w:fill="EDFAEC"/>
          </w:tcPr>
          <w:p>
            <w:pPr>
              <w:jc w:val="right"/>
              <w:ind w:right="53"/>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E6E6E6"/>
            </w:tcBorders>
            <w:vMerge w:val="restart"/>
            <w:shd w:val="clear" w:color="auto" w:fill="EDFAEC"/>
          </w:tcPr>
          <w:p>
            <w:pPr>
              <w:jc w:val="right"/>
              <w:ind w:right="33"/>
              <w:spacing w:after="0"/>
              <w:rPr>
                <w:sz w:val="20"/>
                <w:szCs w:val="20"/>
                <w:color w:val="auto"/>
              </w:rPr>
            </w:pPr>
            <w:r>
              <w:rPr>
                <w:rFonts w:ascii="Arial" w:cs="Arial" w:eastAsia="Arial" w:hAnsi="Arial"/>
                <w:sz w:val="14"/>
                <w:szCs w:val="14"/>
                <w:color w:val="auto"/>
              </w:rPr>
              <w:t>3,431,975</w:t>
            </w:r>
          </w:p>
        </w:tc>
        <w:tc>
          <w:tcPr>
            <w:tcW w:w="860" w:type="dxa"/>
            <w:vAlign w:val="bottom"/>
            <w:tcBorders>
              <w:top w:val="single" w:sz="8" w:color="E6E6E6"/>
            </w:tcBorders>
            <w:vMerge w:val="restart"/>
            <w:shd w:val="clear" w:color="auto" w:fill="EDFAEC"/>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E6E6E6"/>
            </w:tcBorders>
            <w:vMerge w:val="restart"/>
            <w:shd w:val="clear" w:color="auto" w:fill="EDFAEC"/>
          </w:tcPr>
          <w:p>
            <w:pPr>
              <w:jc w:val="right"/>
              <w:ind w:right="54"/>
              <w:spacing w:after="0"/>
              <w:rPr>
                <w:sz w:val="20"/>
                <w:szCs w:val="20"/>
                <w:color w:val="auto"/>
              </w:rPr>
            </w:pPr>
            <w:r>
              <w:rPr>
                <w:rFonts w:ascii="Arial" w:cs="Arial" w:eastAsia="Arial" w:hAnsi="Arial"/>
                <w:sz w:val="14"/>
                <w:szCs w:val="14"/>
                <w:color w:val="auto"/>
              </w:rPr>
              <w:t>872,690</w:t>
            </w:r>
          </w:p>
        </w:tc>
        <w:tc>
          <w:tcPr>
            <w:tcW w:w="1080" w:type="dxa"/>
            <w:vAlign w:val="bottom"/>
            <w:tcBorders>
              <w:top w:val="single" w:sz="8" w:color="E6E6E6"/>
            </w:tcBorders>
            <w:vMerge w:val="restart"/>
            <w:shd w:val="clear" w:color="auto" w:fill="EDFAEC"/>
          </w:tcPr>
          <w:p>
            <w:pPr>
              <w:jc w:val="right"/>
              <w:ind w:right="53"/>
              <w:spacing w:after="0"/>
              <w:rPr>
                <w:sz w:val="20"/>
                <w:szCs w:val="20"/>
                <w:color w:val="auto"/>
              </w:rPr>
            </w:pPr>
            <w:r>
              <w:rPr>
                <w:rFonts w:ascii="Arial" w:cs="Arial" w:eastAsia="Arial" w:hAnsi="Arial"/>
                <w:sz w:val="14"/>
                <w:szCs w:val="14"/>
                <w:color w:val="auto"/>
              </w:rPr>
              <w:t>10,350</w:t>
            </w:r>
          </w:p>
        </w:tc>
        <w:tc>
          <w:tcPr>
            <w:tcW w:w="880" w:type="dxa"/>
            <w:vAlign w:val="bottom"/>
            <w:tcBorders>
              <w:top w:val="single" w:sz="8" w:color="E6E6E6"/>
            </w:tcBorders>
            <w:vMerge w:val="restart"/>
            <w:shd w:val="clear" w:color="auto" w:fill="EDFAEC"/>
          </w:tcPr>
          <w:p>
            <w:pPr>
              <w:jc w:val="right"/>
              <w:spacing w:after="0"/>
              <w:rPr>
                <w:sz w:val="20"/>
                <w:szCs w:val="20"/>
                <w:color w:val="auto"/>
              </w:rPr>
            </w:pPr>
            <w:r>
              <w:rPr>
                <w:rFonts w:ascii="Arial" w:cs="Arial" w:eastAsia="Arial" w:hAnsi="Arial"/>
                <w:sz w:val="14"/>
                <w:szCs w:val="14"/>
                <w:color w:val="auto"/>
              </w:rPr>
              <w:t>5,015,015</w:t>
            </w:r>
          </w:p>
        </w:tc>
        <w:tc>
          <w:tcPr>
            <w:tcW w:w="0" w:type="dxa"/>
            <w:vAlign w:val="bottom"/>
          </w:tcPr>
          <w:p>
            <w:pPr>
              <w:spacing w:after="0"/>
              <w:rPr>
                <w:sz w:val="1"/>
                <w:szCs w:val="1"/>
                <w:color w:val="auto"/>
              </w:rPr>
            </w:pPr>
          </w:p>
        </w:tc>
      </w:tr>
      <w:tr>
        <w:trPr>
          <w:trHeight w:val="94"/>
        </w:trPr>
        <w:tc>
          <w:tcPr>
            <w:tcW w:w="1860" w:type="dxa"/>
            <w:vAlign w:val="bottom"/>
            <w:tcBorders>
              <w:bottom w:val="single" w:sz="8" w:color="EDFAEC"/>
            </w:tcBorders>
            <w:vMerge w:val="restart"/>
            <w:shd w:val="clear" w:color="auto" w:fill="EDFAEC"/>
          </w:tcPr>
          <w:p>
            <w:pPr>
              <w:ind w:left="80"/>
              <w:spacing w:after="0"/>
              <w:rPr>
                <w:sz w:val="20"/>
                <w:szCs w:val="20"/>
                <w:color w:val="auto"/>
              </w:rPr>
            </w:pPr>
            <w:r>
              <w:rPr>
                <w:rFonts w:ascii="Arial" w:cs="Arial" w:eastAsia="Arial" w:hAnsi="Arial"/>
                <w:sz w:val="14"/>
                <w:szCs w:val="14"/>
                <w:color w:val="auto"/>
              </w:rPr>
              <w:t>Technology Officer</w:t>
            </w:r>
            <w:r>
              <w:rPr>
                <w:rFonts w:ascii="Arial" w:cs="Arial" w:eastAsia="Arial" w:hAnsi="Arial"/>
                <w:sz w:val="18"/>
                <w:szCs w:val="18"/>
                <w:color w:val="auto"/>
                <w:vertAlign w:val="superscript"/>
              </w:rPr>
              <w:t>(6)</w:t>
            </w:r>
          </w:p>
        </w:tc>
        <w:tc>
          <w:tcPr>
            <w:tcW w:w="580" w:type="dxa"/>
            <w:vAlign w:val="bottom"/>
            <w:tcBorders>
              <w:bottom w:val="single" w:sz="8" w:color="E6E6E6"/>
            </w:tcBorders>
            <w:vMerge w:val="continue"/>
            <w:shd w:val="clear" w:color="auto" w:fill="EDFAEC"/>
          </w:tcPr>
          <w:p>
            <w:pPr>
              <w:spacing w:after="0"/>
              <w:rPr>
                <w:sz w:val="7"/>
                <w:szCs w:val="7"/>
                <w:color w:val="auto"/>
              </w:rPr>
            </w:pPr>
          </w:p>
        </w:tc>
        <w:tc>
          <w:tcPr>
            <w:tcW w:w="820" w:type="dxa"/>
            <w:vAlign w:val="bottom"/>
            <w:tcBorders>
              <w:bottom w:val="single" w:sz="8" w:color="E6E6E6"/>
            </w:tcBorders>
            <w:vMerge w:val="continue"/>
            <w:shd w:val="clear" w:color="auto" w:fill="EDFAEC"/>
          </w:tcPr>
          <w:p>
            <w:pPr>
              <w:spacing w:after="0"/>
              <w:rPr>
                <w:sz w:val="7"/>
                <w:szCs w:val="7"/>
                <w:color w:val="auto"/>
              </w:rPr>
            </w:pPr>
          </w:p>
        </w:tc>
        <w:tc>
          <w:tcPr>
            <w:tcW w:w="880" w:type="dxa"/>
            <w:vAlign w:val="bottom"/>
            <w:tcBorders>
              <w:bottom w:val="single" w:sz="8" w:color="E6E6E6"/>
            </w:tcBorders>
            <w:vMerge w:val="continue"/>
            <w:shd w:val="clear" w:color="auto" w:fill="EDFAEC"/>
          </w:tcPr>
          <w:p>
            <w:pPr>
              <w:spacing w:after="0"/>
              <w:rPr>
                <w:sz w:val="7"/>
                <w:szCs w:val="7"/>
                <w:color w:val="auto"/>
              </w:rPr>
            </w:pPr>
          </w:p>
        </w:tc>
        <w:tc>
          <w:tcPr>
            <w:tcW w:w="900" w:type="dxa"/>
            <w:vAlign w:val="bottom"/>
            <w:tcBorders>
              <w:bottom w:val="single" w:sz="8" w:color="E6E6E6"/>
            </w:tcBorders>
            <w:vMerge w:val="continue"/>
            <w:shd w:val="clear" w:color="auto" w:fill="EDFAEC"/>
          </w:tcPr>
          <w:p>
            <w:pPr>
              <w:spacing w:after="0"/>
              <w:rPr>
                <w:sz w:val="7"/>
                <w:szCs w:val="7"/>
                <w:color w:val="auto"/>
              </w:rPr>
            </w:pPr>
          </w:p>
        </w:tc>
        <w:tc>
          <w:tcPr>
            <w:tcW w:w="860" w:type="dxa"/>
            <w:vAlign w:val="bottom"/>
            <w:tcBorders>
              <w:bottom w:val="single" w:sz="8" w:color="E6E6E6"/>
            </w:tcBorders>
            <w:vMerge w:val="continue"/>
            <w:shd w:val="clear" w:color="auto" w:fill="EDFAEC"/>
          </w:tcPr>
          <w:p>
            <w:pPr>
              <w:spacing w:after="0"/>
              <w:rPr>
                <w:sz w:val="7"/>
                <w:szCs w:val="7"/>
                <w:color w:val="auto"/>
              </w:rPr>
            </w:pPr>
          </w:p>
        </w:tc>
        <w:tc>
          <w:tcPr>
            <w:tcW w:w="900" w:type="dxa"/>
            <w:vAlign w:val="bottom"/>
            <w:tcBorders>
              <w:bottom w:val="single" w:sz="8" w:color="E6E6E6"/>
            </w:tcBorders>
            <w:vMerge w:val="continue"/>
            <w:shd w:val="clear" w:color="auto" w:fill="EDFAEC"/>
          </w:tcPr>
          <w:p>
            <w:pPr>
              <w:spacing w:after="0"/>
              <w:rPr>
                <w:sz w:val="7"/>
                <w:szCs w:val="7"/>
                <w:color w:val="auto"/>
              </w:rPr>
            </w:pPr>
          </w:p>
        </w:tc>
        <w:tc>
          <w:tcPr>
            <w:tcW w:w="1080" w:type="dxa"/>
            <w:vAlign w:val="bottom"/>
            <w:tcBorders>
              <w:bottom w:val="single" w:sz="8" w:color="E6E6E6"/>
            </w:tcBorders>
            <w:vMerge w:val="continue"/>
            <w:shd w:val="clear" w:color="auto" w:fill="EDFAEC"/>
          </w:tcPr>
          <w:p>
            <w:pPr>
              <w:spacing w:after="0"/>
              <w:rPr>
                <w:sz w:val="7"/>
                <w:szCs w:val="7"/>
                <w:color w:val="auto"/>
              </w:rPr>
            </w:pPr>
          </w:p>
        </w:tc>
        <w:tc>
          <w:tcPr>
            <w:tcW w:w="880" w:type="dxa"/>
            <w:vAlign w:val="bottom"/>
            <w:tcBorders>
              <w:bottom w:val="single" w:sz="8" w:color="E6E6E6"/>
            </w:tcBorders>
            <w:vMerge w:val="continue"/>
            <w:shd w:val="clear" w:color="auto" w:fill="EDFAEC"/>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860" w:type="dxa"/>
            <w:vAlign w:val="bottom"/>
            <w:tcBorders>
              <w:bottom w:val="single" w:sz="8" w:color="EDFAEC"/>
            </w:tcBorders>
            <w:vMerge w:val="continue"/>
            <w:shd w:val="clear" w:color="auto" w:fill="EDFAEC"/>
          </w:tcPr>
          <w:p>
            <w:pPr>
              <w:spacing w:after="0"/>
              <w:rPr>
                <w:sz w:val="17"/>
                <w:szCs w:val="17"/>
                <w:color w:val="auto"/>
              </w:rPr>
            </w:pPr>
          </w:p>
        </w:tc>
        <w:tc>
          <w:tcPr>
            <w:tcW w:w="580" w:type="dxa"/>
            <w:vAlign w:val="bottom"/>
            <w:tcBorders>
              <w:bottom w:val="single" w:sz="8" w:color="EDFAEC"/>
            </w:tcBorders>
            <w:shd w:val="clear" w:color="auto" w:fill="EDFAEC"/>
          </w:tcPr>
          <w:p>
            <w:pPr>
              <w:spacing w:after="0"/>
              <w:rPr>
                <w:sz w:val="17"/>
                <w:szCs w:val="17"/>
                <w:color w:val="auto"/>
              </w:rPr>
            </w:pPr>
          </w:p>
        </w:tc>
        <w:tc>
          <w:tcPr>
            <w:tcW w:w="820" w:type="dxa"/>
            <w:vAlign w:val="bottom"/>
            <w:tcBorders>
              <w:bottom w:val="single" w:sz="8" w:color="EDFAEC"/>
            </w:tcBorders>
            <w:shd w:val="clear" w:color="auto" w:fill="EDFAEC"/>
          </w:tcPr>
          <w:p>
            <w:pPr>
              <w:spacing w:after="0"/>
              <w:rPr>
                <w:sz w:val="17"/>
                <w:szCs w:val="17"/>
                <w:color w:val="auto"/>
              </w:rPr>
            </w:pPr>
          </w:p>
        </w:tc>
        <w:tc>
          <w:tcPr>
            <w:tcW w:w="880" w:type="dxa"/>
            <w:vAlign w:val="bottom"/>
            <w:tcBorders>
              <w:bottom w:val="single" w:sz="8" w:color="EDFAEC"/>
            </w:tcBorders>
            <w:shd w:val="clear" w:color="auto" w:fill="EDFAEC"/>
          </w:tcPr>
          <w:p>
            <w:pPr>
              <w:spacing w:after="0"/>
              <w:rPr>
                <w:sz w:val="17"/>
                <w:szCs w:val="17"/>
                <w:color w:val="auto"/>
              </w:rPr>
            </w:pPr>
          </w:p>
        </w:tc>
        <w:tc>
          <w:tcPr>
            <w:tcW w:w="900" w:type="dxa"/>
            <w:vAlign w:val="bottom"/>
            <w:tcBorders>
              <w:bottom w:val="single" w:sz="8" w:color="EDFAEC"/>
            </w:tcBorders>
            <w:shd w:val="clear" w:color="auto" w:fill="EDFAEC"/>
          </w:tcPr>
          <w:p>
            <w:pPr>
              <w:spacing w:after="0"/>
              <w:rPr>
                <w:sz w:val="17"/>
                <w:szCs w:val="17"/>
                <w:color w:val="auto"/>
              </w:rPr>
            </w:pPr>
          </w:p>
        </w:tc>
        <w:tc>
          <w:tcPr>
            <w:tcW w:w="860" w:type="dxa"/>
            <w:vAlign w:val="bottom"/>
            <w:tcBorders>
              <w:bottom w:val="single" w:sz="8" w:color="EDFAEC"/>
            </w:tcBorders>
            <w:shd w:val="clear" w:color="auto" w:fill="EDFAEC"/>
          </w:tcPr>
          <w:p>
            <w:pPr>
              <w:spacing w:after="0"/>
              <w:rPr>
                <w:sz w:val="17"/>
                <w:szCs w:val="17"/>
                <w:color w:val="auto"/>
              </w:rPr>
            </w:pPr>
          </w:p>
        </w:tc>
        <w:tc>
          <w:tcPr>
            <w:tcW w:w="900" w:type="dxa"/>
            <w:vAlign w:val="bottom"/>
            <w:tcBorders>
              <w:bottom w:val="single" w:sz="8" w:color="EDFAEC"/>
            </w:tcBorders>
            <w:shd w:val="clear" w:color="auto" w:fill="EDFAEC"/>
          </w:tcPr>
          <w:p>
            <w:pPr>
              <w:spacing w:after="0"/>
              <w:rPr>
                <w:sz w:val="17"/>
                <w:szCs w:val="17"/>
                <w:color w:val="auto"/>
              </w:rPr>
            </w:pPr>
          </w:p>
        </w:tc>
        <w:tc>
          <w:tcPr>
            <w:tcW w:w="1080" w:type="dxa"/>
            <w:vAlign w:val="bottom"/>
            <w:tcBorders>
              <w:bottom w:val="single" w:sz="8" w:color="EDFAEC"/>
            </w:tcBorders>
            <w:shd w:val="clear" w:color="auto" w:fill="EDFAEC"/>
          </w:tcPr>
          <w:p>
            <w:pPr>
              <w:spacing w:after="0"/>
              <w:rPr>
                <w:sz w:val="17"/>
                <w:szCs w:val="17"/>
                <w:color w:val="auto"/>
              </w:rPr>
            </w:pPr>
          </w:p>
        </w:tc>
        <w:tc>
          <w:tcPr>
            <w:tcW w:w="880" w:type="dxa"/>
            <w:vAlign w:val="bottom"/>
            <w:tcBorders>
              <w:bottom w:val="single" w:sz="8" w:color="EDFAEC"/>
            </w:tcBorders>
            <w:shd w:val="clear" w:color="auto" w:fill="EDFAE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860" w:type="dxa"/>
            <w:vAlign w:val="bottom"/>
            <w:tcBorders>
              <w:top w:val="single" w:sz="8" w:color="E6E6E6"/>
            </w:tcBorders>
          </w:tcPr>
          <w:p>
            <w:pPr>
              <w:ind w:left="80"/>
              <w:spacing w:after="0"/>
              <w:rPr>
                <w:sz w:val="20"/>
                <w:szCs w:val="20"/>
                <w:color w:val="auto"/>
              </w:rPr>
            </w:pPr>
            <w:r>
              <w:rPr>
                <w:rFonts w:ascii="Arial" w:cs="Arial" w:eastAsia="Arial" w:hAnsi="Arial"/>
                <w:sz w:val="14"/>
                <w:szCs w:val="14"/>
                <w:b w:val="1"/>
                <w:bCs w:val="1"/>
                <w:color w:val="431C5B"/>
              </w:rPr>
              <w:t>Robert Toohey</w:t>
            </w:r>
          </w:p>
        </w:tc>
        <w:tc>
          <w:tcPr>
            <w:tcW w:w="58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2025</w:t>
            </w:r>
          </w:p>
        </w:tc>
        <w:tc>
          <w:tcPr>
            <w:tcW w:w="82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700,000</w:t>
            </w:r>
          </w:p>
        </w:tc>
        <w:tc>
          <w:tcPr>
            <w:tcW w:w="880" w:type="dxa"/>
            <w:vAlign w:val="bottom"/>
            <w:tcBorders>
              <w:top w:val="single" w:sz="8" w:color="E6E6E6"/>
            </w:tcBorders>
          </w:tcPr>
          <w:p>
            <w:pPr>
              <w:jc w:val="right"/>
              <w:ind w:right="53"/>
              <w:spacing w:after="0"/>
              <w:rPr>
                <w:sz w:val="20"/>
                <w:szCs w:val="20"/>
                <w:color w:val="auto"/>
              </w:rPr>
            </w:pPr>
            <w:r>
              <w:rPr>
                <w:rFonts w:ascii="Arial" w:cs="Arial" w:eastAsia="Arial" w:hAnsi="Arial"/>
                <w:sz w:val="14"/>
                <w:szCs w:val="14"/>
                <w:color w:val="auto"/>
              </w:rPr>
              <w:t>250,000</w:t>
            </w:r>
          </w:p>
        </w:tc>
        <w:tc>
          <w:tcPr>
            <w:tcW w:w="900" w:type="dxa"/>
            <w:vAlign w:val="bottom"/>
            <w:tcBorders>
              <w:top w:val="single" w:sz="8" w:color="E6E6E6"/>
            </w:tcBorders>
          </w:tcPr>
          <w:p>
            <w:pPr>
              <w:jc w:val="right"/>
              <w:ind w:right="33"/>
              <w:spacing w:after="0"/>
              <w:rPr>
                <w:sz w:val="20"/>
                <w:szCs w:val="20"/>
                <w:color w:val="auto"/>
              </w:rPr>
            </w:pPr>
            <w:r>
              <w:rPr>
                <w:rFonts w:ascii="Arial" w:cs="Arial" w:eastAsia="Arial" w:hAnsi="Arial"/>
                <w:sz w:val="14"/>
                <w:szCs w:val="14"/>
                <w:color w:val="auto"/>
              </w:rPr>
              <w:t>3,030,157</w:t>
            </w:r>
          </w:p>
        </w:tc>
        <w:tc>
          <w:tcPr>
            <w:tcW w:w="860" w:type="dxa"/>
            <w:vAlign w:val="bottom"/>
            <w:tcBorders>
              <w:top w:val="single" w:sz="8" w:color="E6E6E6"/>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E6E6E6"/>
            </w:tcBorders>
          </w:tcPr>
          <w:p>
            <w:pPr>
              <w:jc w:val="right"/>
              <w:ind w:right="54"/>
              <w:spacing w:after="0"/>
              <w:rPr>
                <w:sz w:val="20"/>
                <w:szCs w:val="20"/>
                <w:color w:val="auto"/>
              </w:rPr>
            </w:pPr>
            <w:r>
              <w:rPr>
                <w:rFonts w:ascii="Arial" w:cs="Arial" w:eastAsia="Arial" w:hAnsi="Arial"/>
                <w:sz w:val="14"/>
                <w:szCs w:val="14"/>
                <w:color w:val="auto"/>
              </w:rPr>
              <w:t>980,000</w:t>
            </w:r>
          </w:p>
        </w:tc>
        <w:tc>
          <w:tcPr>
            <w:tcW w:w="1080" w:type="dxa"/>
            <w:vAlign w:val="bottom"/>
            <w:tcBorders>
              <w:top w:val="single" w:sz="8" w:color="E6E6E6"/>
            </w:tcBorders>
          </w:tcPr>
          <w:p>
            <w:pPr>
              <w:jc w:val="right"/>
              <w:ind w:right="53"/>
              <w:spacing w:after="0"/>
              <w:rPr>
                <w:sz w:val="20"/>
                <w:szCs w:val="20"/>
                <w:color w:val="auto"/>
              </w:rPr>
            </w:pPr>
            <w:r>
              <w:rPr>
                <w:rFonts w:ascii="Arial" w:cs="Arial" w:eastAsia="Arial" w:hAnsi="Arial"/>
                <w:sz w:val="14"/>
                <w:szCs w:val="14"/>
                <w:color w:val="auto"/>
              </w:rPr>
              <w:t>18,251</w:t>
            </w:r>
          </w:p>
        </w:tc>
        <w:tc>
          <w:tcPr>
            <w:tcW w:w="88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4,978,408</w:t>
            </w:r>
          </w:p>
        </w:tc>
        <w:tc>
          <w:tcPr>
            <w:tcW w:w="0" w:type="dxa"/>
            <w:vAlign w:val="bottom"/>
          </w:tcPr>
          <w:p>
            <w:pPr>
              <w:spacing w:after="0"/>
              <w:rPr>
                <w:sz w:val="1"/>
                <w:szCs w:val="1"/>
                <w:color w:val="auto"/>
              </w:rPr>
            </w:pPr>
          </w:p>
        </w:tc>
      </w:tr>
      <w:tr>
        <w:trPr>
          <w:trHeight w:val="23"/>
        </w:trPr>
        <w:tc>
          <w:tcPr>
            <w:tcW w:w="1860" w:type="dxa"/>
            <w:vAlign w:val="bottom"/>
            <w:vMerge w:val="restart"/>
          </w:tcPr>
          <w:p>
            <w:pPr>
              <w:ind w:left="80"/>
              <w:spacing w:after="0"/>
              <w:rPr>
                <w:sz w:val="20"/>
                <w:szCs w:val="20"/>
                <w:color w:val="auto"/>
              </w:rPr>
            </w:pPr>
            <w:r>
              <w:rPr>
                <w:rFonts w:ascii="Arial" w:cs="Arial" w:eastAsia="Arial" w:hAnsi="Arial"/>
                <w:sz w:val="14"/>
                <w:szCs w:val="14"/>
                <w:color w:val="auto"/>
              </w:rPr>
              <w:t>Corporate Executive Vice</w:t>
            </w:r>
          </w:p>
        </w:tc>
        <w:tc>
          <w:tcPr>
            <w:tcW w:w="580" w:type="dxa"/>
            <w:vAlign w:val="bottom"/>
            <w:tcBorders>
              <w:bottom w:val="single" w:sz="8" w:color="E6E6E6"/>
            </w:tcBorders>
          </w:tcPr>
          <w:p>
            <w:pPr>
              <w:spacing w:after="0" w:line="20" w:lineRule="exact"/>
              <w:rPr>
                <w:sz w:val="1"/>
                <w:szCs w:val="1"/>
                <w:color w:val="auto"/>
              </w:rPr>
            </w:pPr>
          </w:p>
        </w:tc>
        <w:tc>
          <w:tcPr>
            <w:tcW w:w="820" w:type="dxa"/>
            <w:vAlign w:val="bottom"/>
            <w:tcBorders>
              <w:bottom w:val="single" w:sz="8" w:color="E6E6E6"/>
            </w:tcBorders>
          </w:tcPr>
          <w:p>
            <w:pPr>
              <w:spacing w:after="0" w:line="20" w:lineRule="exact"/>
              <w:rPr>
                <w:sz w:val="1"/>
                <w:szCs w:val="1"/>
                <w:color w:val="auto"/>
              </w:rPr>
            </w:pPr>
          </w:p>
        </w:tc>
        <w:tc>
          <w:tcPr>
            <w:tcW w:w="880" w:type="dxa"/>
            <w:vAlign w:val="bottom"/>
            <w:tcBorders>
              <w:bottom w:val="single" w:sz="8" w:color="E6E6E6"/>
            </w:tcBorders>
          </w:tcPr>
          <w:p>
            <w:pPr>
              <w:spacing w:after="0" w:line="20" w:lineRule="exact"/>
              <w:rPr>
                <w:sz w:val="1"/>
                <w:szCs w:val="1"/>
                <w:color w:val="auto"/>
              </w:rPr>
            </w:pPr>
          </w:p>
        </w:tc>
        <w:tc>
          <w:tcPr>
            <w:tcW w:w="900" w:type="dxa"/>
            <w:vAlign w:val="bottom"/>
            <w:tcBorders>
              <w:bottom w:val="single" w:sz="8" w:color="E6E6E6"/>
            </w:tcBorders>
          </w:tcPr>
          <w:p>
            <w:pPr>
              <w:spacing w:after="0" w:line="20" w:lineRule="exact"/>
              <w:rPr>
                <w:sz w:val="1"/>
                <w:szCs w:val="1"/>
                <w:color w:val="auto"/>
              </w:rPr>
            </w:pPr>
          </w:p>
        </w:tc>
        <w:tc>
          <w:tcPr>
            <w:tcW w:w="860" w:type="dxa"/>
            <w:vAlign w:val="bottom"/>
            <w:tcBorders>
              <w:bottom w:val="single" w:sz="8" w:color="E6E6E6"/>
            </w:tcBorders>
          </w:tcPr>
          <w:p>
            <w:pPr>
              <w:spacing w:after="0" w:line="20" w:lineRule="exact"/>
              <w:rPr>
                <w:sz w:val="1"/>
                <w:szCs w:val="1"/>
                <w:color w:val="auto"/>
              </w:rPr>
            </w:pPr>
          </w:p>
        </w:tc>
        <w:tc>
          <w:tcPr>
            <w:tcW w:w="900" w:type="dxa"/>
            <w:vAlign w:val="bottom"/>
            <w:tcBorders>
              <w:bottom w:val="single" w:sz="8" w:color="E6E6E6"/>
            </w:tcBorders>
          </w:tcPr>
          <w:p>
            <w:pPr>
              <w:spacing w:after="0" w:line="20" w:lineRule="exact"/>
              <w:rPr>
                <w:sz w:val="1"/>
                <w:szCs w:val="1"/>
                <w:color w:val="auto"/>
              </w:rPr>
            </w:pPr>
          </w:p>
        </w:tc>
        <w:tc>
          <w:tcPr>
            <w:tcW w:w="1080" w:type="dxa"/>
            <w:vAlign w:val="bottom"/>
            <w:tcBorders>
              <w:bottom w:val="single" w:sz="8" w:color="E6E6E6"/>
            </w:tcBorders>
          </w:tcPr>
          <w:p>
            <w:pPr>
              <w:spacing w:after="0" w:line="20" w:lineRule="exact"/>
              <w:rPr>
                <w:sz w:val="1"/>
                <w:szCs w:val="1"/>
                <w:color w:val="auto"/>
              </w:rPr>
            </w:pPr>
          </w:p>
        </w:tc>
        <w:tc>
          <w:tcPr>
            <w:tcW w:w="880" w:type="dxa"/>
            <w:vAlign w:val="bottom"/>
            <w:tcBorders>
              <w:bottom w:val="single" w:sz="8" w:color="E6E6E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8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80"/>
              <w:spacing w:after="0"/>
              <w:rPr>
                <w:sz w:val="20"/>
                <w:szCs w:val="20"/>
                <w:color w:val="auto"/>
              </w:rPr>
            </w:pPr>
            <w:r>
              <w:rPr>
                <w:rFonts w:ascii="Arial" w:cs="Arial" w:eastAsia="Arial" w:hAnsi="Arial"/>
                <w:sz w:val="14"/>
                <w:szCs w:val="14"/>
                <w:color w:val="auto"/>
              </w:rPr>
              <w:t>President and Chief</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60" w:type="dxa"/>
            <w:vAlign w:val="bottom"/>
          </w:tcPr>
          <w:p>
            <w:pPr>
              <w:ind w:left="80"/>
              <w:spacing w:after="0"/>
              <w:rPr>
                <w:sz w:val="20"/>
                <w:szCs w:val="20"/>
                <w:color w:val="auto"/>
              </w:rPr>
            </w:pPr>
            <w:r>
              <w:rPr>
                <w:rFonts w:ascii="Arial" w:cs="Arial" w:eastAsia="Arial" w:hAnsi="Arial"/>
                <w:sz w:val="14"/>
                <w:szCs w:val="14"/>
                <w:color w:val="auto"/>
              </w:rPr>
              <w:t>People Officer</w:t>
            </w: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860" w:type="dxa"/>
            <w:vAlign w:val="bottom"/>
            <w:tcBorders>
              <w:bottom w:val="single" w:sz="8" w:color="E6E6E6"/>
            </w:tcBorders>
          </w:tcPr>
          <w:p>
            <w:pPr>
              <w:spacing w:after="0"/>
              <w:rPr>
                <w:sz w:val="6"/>
                <w:szCs w:val="6"/>
                <w:color w:val="auto"/>
              </w:rPr>
            </w:pPr>
          </w:p>
        </w:tc>
        <w:tc>
          <w:tcPr>
            <w:tcW w:w="580" w:type="dxa"/>
            <w:vAlign w:val="bottom"/>
            <w:tcBorders>
              <w:bottom w:val="single" w:sz="8" w:color="E6E6E6"/>
            </w:tcBorders>
          </w:tcPr>
          <w:p>
            <w:pPr>
              <w:spacing w:after="0"/>
              <w:rPr>
                <w:sz w:val="6"/>
                <w:szCs w:val="6"/>
                <w:color w:val="auto"/>
              </w:rPr>
            </w:pPr>
          </w:p>
        </w:tc>
        <w:tc>
          <w:tcPr>
            <w:tcW w:w="820" w:type="dxa"/>
            <w:vAlign w:val="bottom"/>
            <w:tcBorders>
              <w:bottom w:val="single" w:sz="8" w:color="E6E6E6"/>
            </w:tcBorders>
          </w:tcPr>
          <w:p>
            <w:pPr>
              <w:spacing w:after="0"/>
              <w:rPr>
                <w:sz w:val="6"/>
                <w:szCs w:val="6"/>
                <w:color w:val="auto"/>
              </w:rPr>
            </w:pPr>
          </w:p>
        </w:tc>
        <w:tc>
          <w:tcPr>
            <w:tcW w:w="880" w:type="dxa"/>
            <w:vAlign w:val="bottom"/>
            <w:tcBorders>
              <w:bottom w:val="single" w:sz="8" w:color="E6E6E6"/>
            </w:tcBorders>
          </w:tcPr>
          <w:p>
            <w:pPr>
              <w:spacing w:after="0"/>
              <w:rPr>
                <w:sz w:val="6"/>
                <w:szCs w:val="6"/>
                <w:color w:val="auto"/>
              </w:rPr>
            </w:pPr>
          </w:p>
        </w:tc>
        <w:tc>
          <w:tcPr>
            <w:tcW w:w="900" w:type="dxa"/>
            <w:vAlign w:val="bottom"/>
            <w:tcBorders>
              <w:bottom w:val="single" w:sz="8" w:color="E6E6E6"/>
            </w:tcBorders>
          </w:tcPr>
          <w:p>
            <w:pPr>
              <w:spacing w:after="0"/>
              <w:rPr>
                <w:sz w:val="6"/>
                <w:szCs w:val="6"/>
                <w:color w:val="auto"/>
              </w:rPr>
            </w:pPr>
          </w:p>
        </w:tc>
        <w:tc>
          <w:tcPr>
            <w:tcW w:w="860" w:type="dxa"/>
            <w:vAlign w:val="bottom"/>
            <w:tcBorders>
              <w:bottom w:val="single" w:sz="8" w:color="E6E6E6"/>
            </w:tcBorders>
          </w:tcPr>
          <w:p>
            <w:pPr>
              <w:spacing w:after="0"/>
              <w:rPr>
                <w:sz w:val="6"/>
                <w:szCs w:val="6"/>
                <w:color w:val="auto"/>
              </w:rPr>
            </w:pPr>
          </w:p>
        </w:tc>
        <w:tc>
          <w:tcPr>
            <w:tcW w:w="900" w:type="dxa"/>
            <w:vAlign w:val="bottom"/>
            <w:tcBorders>
              <w:bottom w:val="single" w:sz="8" w:color="E6E6E6"/>
            </w:tcBorders>
          </w:tcPr>
          <w:p>
            <w:pPr>
              <w:spacing w:after="0"/>
              <w:rPr>
                <w:sz w:val="6"/>
                <w:szCs w:val="6"/>
                <w:color w:val="auto"/>
              </w:rPr>
            </w:pPr>
          </w:p>
        </w:tc>
        <w:tc>
          <w:tcPr>
            <w:tcW w:w="1080" w:type="dxa"/>
            <w:vAlign w:val="bottom"/>
            <w:tcBorders>
              <w:bottom w:val="single" w:sz="8" w:color="E6E6E6"/>
            </w:tcBorders>
          </w:tcPr>
          <w:p>
            <w:pPr>
              <w:spacing w:after="0"/>
              <w:rPr>
                <w:sz w:val="6"/>
                <w:szCs w:val="6"/>
                <w:color w:val="auto"/>
              </w:rPr>
            </w:pPr>
          </w:p>
        </w:tc>
        <w:tc>
          <w:tcPr>
            <w:tcW w:w="880" w:type="dxa"/>
            <w:vAlign w:val="bottom"/>
            <w:tcBorders>
              <w:bottom w:val="single" w:sz="8" w:color="E6E6E6"/>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860" w:type="dxa"/>
            <w:vAlign w:val="bottom"/>
          </w:tcPr>
          <w:p>
            <w:pPr>
              <w:ind w:left="80"/>
              <w:spacing w:after="0"/>
              <w:rPr>
                <w:sz w:val="20"/>
                <w:szCs w:val="20"/>
                <w:color w:val="auto"/>
              </w:rPr>
            </w:pPr>
            <w:r>
              <w:rPr>
                <w:rFonts w:ascii="Arial" w:cs="Arial" w:eastAsia="Arial" w:hAnsi="Arial"/>
                <w:sz w:val="14"/>
                <w:szCs w:val="14"/>
                <w:b w:val="1"/>
                <w:bCs w:val="1"/>
                <w:color w:val="431C5B"/>
              </w:rPr>
              <w:t>Caroline Tsai</w:t>
            </w:r>
          </w:p>
        </w:tc>
        <w:tc>
          <w:tcPr>
            <w:tcW w:w="58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2025</w:t>
            </w:r>
          </w:p>
        </w:tc>
        <w:tc>
          <w:tcPr>
            <w:tcW w:w="82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700,000</w:t>
            </w:r>
          </w:p>
        </w:tc>
        <w:tc>
          <w:tcPr>
            <w:tcW w:w="880" w:type="dxa"/>
            <w:vAlign w:val="bottom"/>
            <w:tcBorders>
              <w:bottom w:val="single" w:sz="8" w:color="EDFAEC"/>
            </w:tcBorders>
            <w:shd w:val="clear" w:color="auto" w:fill="EDFAEC"/>
          </w:tcPr>
          <w:p>
            <w:pPr>
              <w:jc w:val="right"/>
              <w:ind w:right="53"/>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DFAEC"/>
            </w:tcBorders>
            <w:shd w:val="clear" w:color="auto" w:fill="EDFAEC"/>
          </w:tcPr>
          <w:p>
            <w:pPr>
              <w:jc w:val="right"/>
              <w:ind w:right="33"/>
              <w:spacing w:after="0"/>
              <w:rPr>
                <w:sz w:val="20"/>
                <w:szCs w:val="20"/>
                <w:color w:val="auto"/>
              </w:rPr>
            </w:pPr>
            <w:r>
              <w:rPr>
                <w:rFonts w:ascii="Arial" w:cs="Arial" w:eastAsia="Arial" w:hAnsi="Arial"/>
                <w:sz w:val="14"/>
                <w:szCs w:val="14"/>
                <w:color w:val="auto"/>
              </w:rPr>
              <w:t>4,040,163</w:t>
            </w:r>
          </w:p>
        </w:tc>
        <w:tc>
          <w:tcPr>
            <w:tcW w:w="860" w:type="dxa"/>
            <w:vAlign w:val="bottom"/>
            <w:tcBorders>
              <w:bottom w:val="single" w:sz="8" w:color="EDFAEC"/>
            </w:tcBorders>
            <w:shd w:val="clear" w:color="auto" w:fill="EDFAEC"/>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DFAEC"/>
            </w:tcBorders>
            <w:shd w:val="clear" w:color="auto" w:fill="EDFAEC"/>
          </w:tcPr>
          <w:p>
            <w:pPr>
              <w:jc w:val="right"/>
              <w:ind w:right="54"/>
              <w:spacing w:after="0"/>
              <w:rPr>
                <w:sz w:val="20"/>
                <w:szCs w:val="20"/>
                <w:color w:val="auto"/>
              </w:rPr>
            </w:pPr>
            <w:r>
              <w:rPr>
                <w:rFonts w:ascii="Arial" w:cs="Arial" w:eastAsia="Arial" w:hAnsi="Arial"/>
                <w:sz w:val="14"/>
                <w:szCs w:val="14"/>
                <w:color w:val="auto"/>
              </w:rPr>
              <w:t>980,000</w:t>
            </w:r>
          </w:p>
        </w:tc>
        <w:tc>
          <w:tcPr>
            <w:tcW w:w="1080" w:type="dxa"/>
            <w:vAlign w:val="bottom"/>
            <w:tcBorders>
              <w:bottom w:val="single" w:sz="8" w:color="EDFAEC"/>
            </w:tcBorders>
            <w:shd w:val="clear" w:color="auto" w:fill="EDFAEC"/>
          </w:tcPr>
          <w:p>
            <w:pPr>
              <w:jc w:val="right"/>
              <w:ind w:right="53"/>
              <w:spacing w:after="0"/>
              <w:rPr>
                <w:sz w:val="20"/>
                <w:szCs w:val="20"/>
                <w:color w:val="auto"/>
              </w:rPr>
            </w:pPr>
            <w:r>
              <w:rPr>
                <w:rFonts w:ascii="Arial" w:cs="Arial" w:eastAsia="Arial" w:hAnsi="Arial"/>
                <w:sz w:val="14"/>
                <w:szCs w:val="14"/>
                <w:color w:val="auto"/>
              </w:rPr>
              <w:t>10,500</w:t>
            </w:r>
          </w:p>
        </w:tc>
        <w:tc>
          <w:tcPr>
            <w:tcW w:w="88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5,730,663</w:t>
            </w:r>
          </w:p>
        </w:tc>
        <w:tc>
          <w:tcPr>
            <w:tcW w:w="0" w:type="dxa"/>
            <w:vAlign w:val="bottom"/>
          </w:tcPr>
          <w:p>
            <w:pPr>
              <w:spacing w:after="0"/>
              <w:rPr>
                <w:sz w:val="1"/>
                <w:szCs w:val="1"/>
                <w:color w:val="auto"/>
              </w:rPr>
            </w:pPr>
          </w:p>
        </w:tc>
      </w:tr>
      <w:tr>
        <w:trPr>
          <w:trHeight w:val="142"/>
        </w:trPr>
        <w:tc>
          <w:tcPr>
            <w:tcW w:w="1860" w:type="dxa"/>
            <w:vAlign w:val="bottom"/>
          </w:tcPr>
          <w:p>
            <w:pPr>
              <w:ind w:left="80"/>
              <w:spacing w:after="0" w:line="142" w:lineRule="exact"/>
              <w:rPr>
                <w:sz w:val="20"/>
                <w:szCs w:val="20"/>
                <w:color w:val="auto"/>
              </w:rPr>
            </w:pPr>
            <w:r>
              <w:rPr>
                <w:rFonts w:ascii="Arial" w:cs="Arial" w:eastAsia="Arial" w:hAnsi="Arial"/>
                <w:sz w:val="14"/>
                <w:szCs w:val="14"/>
                <w:color w:val="auto"/>
              </w:rPr>
              <w:t>Corporate Executive</w:t>
            </w:r>
          </w:p>
        </w:tc>
        <w:tc>
          <w:tcPr>
            <w:tcW w:w="580" w:type="dxa"/>
            <w:vAlign w:val="bottom"/>
            <w:tcBorders>
              <w:top w:val="single" w:sz="8" w:color="E6E6E6"/>
            </w:tcBorders>
          </w:tcPr>
          <w:p>
            <w:pPr>
              <w:jc w:val="right"/>
              <w:spacing w:after="0" w:line="142" w:lineRule="exact"/>
              <w:rPr>
                <w:sz w:val="20"/>
                <w:szCs w:val="20"/>
                <w:color w:val="auto"/>
              </w:rPr>
            </w:pPr>
            <w:r>
              <w:rPr>
                <w:rFonts w:ascii="Arial" w:cs="Arial" w:eastAsia="Arial" w:hAnsi="Arial"/>
                <w:sz w:val="14"/>
                <w:szCs w:val="14"/>
                <w:color w:val="auto"/>
              </w:rPr>
              <w:t>2024</w:t>
            </w:r>
          </w:p>
        </w:tc>
        <w:tc>
          <w:tcPr>
            <w:tcW w:w="820" w:type="dxa"/>
            <w:vAlign w:val="bottom"/>
            <w:tcBorders>
              <w:top w:val="single" w:sz="8" w:color="E6E6E6"/>
            </w:tcBorders>
            <w:shd w:val="clear" w:color="auto" w:fill="EDFAEC"/>
          </w:tcPr>
          <w:p>
            <w:pPr>
              <w:jc w:val="right"/>
              <w:spacing w:after="0" w:line="142" w:lineRule="exact"/>
              <w:rPr>
                <w:sz w:val="20"/>
                <w:szCs w:val="20"/>
                <w:color w:val="auto"/>
              </w:rPr>
            </w:pPr>
            <w:r>
              <w:rPr>
                <w:rFonts w:ascii="Arial" w:cs="Arial" w:eastAsia="Arial" w:hAnsi="Arial"/>
                <w:sz w:val="14"/>
                <w:szCs w:val="14"/>
                <w:color w:val="auto"/>
              </w:rPr>
              <w:t>665,000</w:t>
            </w:r>
          </w:p>
        </w:tc>
        <w:tc>
          <w:tcPr>
            <w:tcW w:w="880" w:type="dxa"/>
            <w:vAlign w:val="bottom"/>
            <w:tcBorders>
              <w:top w:val="single" w:sz="8" w:color="E6E6E6"/>
            </w:tcBorders>
            <w:shd w:val="clear" w:color="auto" w:fill="EDFAEC"/>
          </w:tcPr>
          <w:p>
            <w:pPr>
              <w:jc w:val="right"/>
              <w:ind w:right="53"/>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E6E6E6"/>
            </w:tcBorders>
            <w:shd w:val="clear" w:color="auto" w:fill="EDFAEC"/>
          </w:tcPr>
          <w:p>
            <w:pPr>
              <w:jc w:val="right"/>
              <w:ind w:right="33"/>
              <w:spacing w:after="0" w:line="142" w:lineRule="exact"/>
              <w:rPr>
                <w:sz w:val="20"/>
                <w:szCs w:val="20"/>
                <w:color w:val="auto"/>
              </w:rPr>
            </w:pPr>
            <w:r>
              <w:rPr>
                <w:rFonts w:ascii="Arial" w:cs="Arial" w:eastAsia="Arial" w:hAnsi="Arial"/>
                <w:sz w:val="14"/>
                <w:szCs w:val="14"/>
                <w:color w:val="auto"/>
              </w:rPr>
              <w:t>5,639,221</w:t>
            </w:r>
          </w:p>
        </w:tc>
        <w:tc>
          <w:tcPr>
            <w:tcW w:w="860" w:type="dxa"/>
            <w:vAlign w:val="bottom"/>
            <w:tcBorders>
              <w:top w:val="single" w:sz="8" w:color="E6E6E6"/>
            </w:tcBorders>
            <w:shd w:val="clear" w:color="auto" w:fill="EDFAEC"/>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E6E6E6"/>
            </w:tcBorders>
            <w:shd w:val="clear" w:color="auto" w:fill="EDFAEC"/>
          </w:tcPr>
          <w:p>
            <w:pPr>
              <w:jc w:val="right"/>
              <w:ind w:right="54"/>
              <w:spacing w:after="0" w:line="142" w:lineRule="exact"/>
              <w:rPr>
                <w:sz w:val="20"/>
                <w:szCs w:val="20"/>
                <w:color w:val="auto"/>
              </w:rPr>
            </w:pPr>
            <w:r>
              <w:rPr>
                <w:rFonts w:ascii="Arial" w:cs="Arial" w:eastAsia="Arial" w:hAnsi="Arial"/>
                <w:sz w:val="14"/>
                <w:szCs w:val="14"/>
                <w:color w:val="auto"/>
              </w:rPr>
              <w:t>863,042</w:t>
            </w:r>
          </w:p>
        </w:tc>
        <w:tc>
          <w:tcPr>
            <w:tcW w:w="1080" w:type="dxa"/>
            <w:vAlign w:val="bottom"/>
            <w:tcBorders>
              <w:top w:val="single" w:sz="8" w:color="E6E6E6"/>
            </w:tcBorders>
            <w:shd w:val="clear" w:color="auto" w:fill="EDFAEC"/>
          </w:tcPr>
          <w:p>
            <w:pPr>
              <w:jc w:val="right"/>
              <w:ind w:right="53"/>
              <w:spacing w:after="0" w:line="142" w:lineRule="exact"/>
              <w:rPr>
                <w:sz w:val="20"/>
                <w:szCs w:val="20"/>
                <w:color w:val="auto"/>
              </w:rPr>
            </w:pPr>
            <w:r>
              <w:rPr>
                <w:rFonts w:ascii="Arial" w:cs="Arial" w:eastAsia="Arial" w:hAnsi="Arial"/>
                <w:sz w:val="14"/>
                <w:szCs w:val="14"/>
                <w:color w:val="auto"/>
              </w:rPr>
              <w:t>10,350</w:t>
            </w:r>
          </w:p>
        </w:tc>
        <w:tc>
          <w:tcPr>
            <w:tcW w:w="880" w:type="dxa"/>
            <w:vAlign w:val="bottom"/>
            <w:tcBorders>
              <w:top w:val="single" w:sz="8" w:color="E6E6E6"/>
            </w:tcBorders>
            <w:shd w:val="clear" w:color="auto" w:fill="EDFAEC"/>
          </w:tcPr>
          <w:p>
            <w:pPr>
              <w:jc w:val="right"/>
              <w:spacing w:after="0" w:line="142" w:lineRule="exact"/>
              <w:rPr>
                <w:sz w:val="20"/>
                <w:szCs w:val="20"/>
                <w:color w:val="auto"/>
              </w:rPr>
            </w:pPr>
            <w:r>
              <w:rPr>
                <w:rFonts w:ascii="Arial" w:cs="Arial" w:eastAsia="Arial" w:hAnsi="Arial"/>
                <w:sz w:val="14"/>
                <w:szCs w:val="14"/>
                <w:color w:val="auto"/>
              </w:rPr>
              <w:t>7,177,613</w:t>
            </w:r>
          </w:p>
        </w:tc>
        <w:tc>
          <w:tcPr>
            <w:tcW w:w="0" w:type="dxa"/>
            <w:vAlign w:val="bottom"/>
          </w:tcPr>
          <w:p>
            <w:pPr>
              <w:spacing w:after="0"/>
              <w:rPr>
                <w:sz w:val="1"/>
                <w:szCs w:val="1"/>
                <w:color w:val="auto"/>
              </w:rPr>
            </w:pPr>
          </w:p>
        </w:tc>
      </w:tr>
      <w:tr>
        <w:trPr>
          <w:trHeight w:val="68"/>
        </w:trPr>
        <w:tc>
          <w:tcPr>
            <w:tcW w:w="1860" w:type="dxa"/>
            <w:vAlign w:val="bottom"/>
            <w:vMerge w:val="restart"/>
          </w:tcPr>
          <w:p>
            <w:pPr>
              <w:ind w:left="80"/>
              <w:spacing w:after="0"/>
              <w:rPr>
                <w:sz w:val="20"/>
                <w:szCs w:val="20"/>
                <w:color w:val="auto"/>
              </w:rPr>
            </w:pPr>
            <w:r>
              <w:rPr>
                <w:rFonts w:ascii="Arial" w:cs="Arial" w:eastAsia="Arial" w:hAnsi="Arial"/>
                <w:sz w:val="14"/>
                <w:szCs w:val="14"/>
                <w:color w:val="auto"/>
              </w:rPr>
              <w:t>Vice President and</w:t>
            </w:r>
          </w:p>
        </w:tc>
        <w:tc>
          <w:tcPr>
            <w:tcW w:w="580" w:type="dxa"/>
            <w:vAlign w:val="bottom"/>
            <w:tcBorders>
              <w:bottom w:val="single" w:sz="8" w:color="E6E6E6"/>
            </w:tcBorders>
          </w:tcPr>
          <w:p>
            <w:pPr>
              <w:spacing w:after="0"/>
              <w:rPr>
                <w:sz w:val="5"/>
                <w:szCs w:val="5"/>
                <w:color w:val="auto"/>
              </w:rPr>
            </w:pPr>
          </w:p>
        </w:tc>
        <w:tc>
          <w:tcPr>
            <w:tcW w:w="820" w:type="dxa"/>
            <w:vAlign w:val="bottom"/>
            <w:tcBorders>
              <w:bottom w:val="single" w:sz="8" w:color="E6E6E6"/>
            </w:tcBorders>
            <w:shd w:val="clear" w:color="auto" w:fill="EDFAEC"/>
          </w:tcPr>
          <w:p>
            <w:pPr>
              <w:spacing w:after="0"/>
              <w:rPr>
                <w:sz w:val="5"/>
                <w:szCs w:val="5"/>
                <w:color w:val="auto"/>
              </w:rPr>
            </w:pPr>
          </w:p>
        </w:tc>
        <w:tc>
          <w:tcPr>
            <w:tcW w:w="880" w:type="dxa"/>
            <w:vAlign w:val="bottom"/>
            <w:tcBorders>
              <w:bottom w:val="single" w:sz="8" w:color="E6E6E6"/>
            </w:tcBorders>
            <w:shd w:val="clear" w:color="auto" w:fill="EDFAEC"/>
          </w:tcPr>
          <w:p>
            <w:pPr>
              <w:spacing w:after="0"/>
              <w:rPr>
                <w:sz w:val="5"/>
                <w:szCs w:val="5"/>
                <w:color w:val="auto"/>
              </w:rPr>
            </w:pPr>
          </w:p>
        </w:tc>
        <w:tc>
          <w:tcPr>
            <w:tcW w:w="900" w:type="dxa"/>
            <w:vAlign w:val="bottom"/>
            <w:tcBorders>
              <w:bottom w:val="single" w:sz="8" w:color="E6E6E6"/>
            </w:tcBorders>
            <w:shd w:val="clear" w:color="auto" w:fill="EDFAEC"/>
          </w:tcPr>
          <w:p>
            <w:pPr>
              <w:spacing w:after="0"/>
              <w:rPr>
                <w:sz w:val="5"/>
                <w:szCs w:val="5"/>
                <w:color w:val="auto"/>
              </w:rPr>
            </w:pPr>
          </w:p>
        </w:tc>
        <w:tc>
          <w:tcPr>
            <w:tcW w:w="860" w:type="dxa"/>
            <w:vAlign w:val="bottom"/>
            <w:tcBorders>
              <w:bottom w:val="single" w:sz="8" w:color="E6E6E6"/>
            </w:tcBorders>
            <w:shd w:val="clear" w:color="auto" w:fill="EDFAEC"/>
          </w:tcPr>
          <w:p>
            <w:pPr>
              <w:spacing w:after="0"/>
              <w:rPr>
                <w:sz w:val="5"/>
                <w:szCs w:val="5"/>
                <w:color w:val="auto"/>
              </w:rPr>
            </w:pPr>
          </w:p>
        </w:tc>
        <w:tc>
          <w:tcPr>
            <w:tcW w:w="900" w:type="dxa"/>
            <w:vAlign w:val="bottom"/>
            <w:tcBorders>
              <w:bottom w:val="single" w:sz="8" w:color="E6E6E6"/>
            </w:tcBorders>
            <w:shd w:val="clear" w:color="auto" w:fill="EDFAEC"/>
          </w:tcPr>
          <w:p>
            <w:pPr>
              <w:spacing w:after="0"/>
              <w:rPr>
                <w:sz w:val="5"/>
                <w:szCs w:val="5"/>
                <w:color w:val="auto"/>
              </w:rPr>
            </w:pPr>
          </w:p>
        </w:tc>
        <w:tc>
          <w:tcPr>
            <w:tcW w:w="1080" w:type="dxa"/>
            <w:vAlign w:val="bottom"/>
            <w:tcBorders>
              <w:bottom w:val="single" w:sz="8" w:color="E6E6E6"/>
            </w:tcBorders>
            <w:shd w:val="clear" w:color="auto" w:fill="EDFAEC"/>
          </w:tcPr>
          <w:p>
            <w:pPr>
              <w:spacing w:after="0"/>
              <w:rPr>
                <w:sz w:val="5"/>
                <w:szCs w:val="5"/>
                <w:color w:val="auto"/>
              </w:rPr>
            </w:pPr>
          </w:p>
        </w:tc>
        <w:tc>
          <w:tcPr>
            <w:tcW w:w="880" w:type="dxa"/>
            <w:vAlign w:val="bottom"/>
            <w:tcBorders>
              <w:bottom w:val="single" w:sz="8" w:color="E6E6E6"/>
            </w:tcBorders>
            <w:shd w:val="clear" w:color="auto" w:fill="EDFAEC"/>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580" w:type="dxa"/>
            <w:vAlign w:val="bottom"/>
          </w:tcPr>
          <w:p>
            <w:pPr>
              <w:jc w:val="right"/>
              <w:spacing w:after="0" w:line="86" w:lineRule="exact"/>
              <w:rPr>
                <w:sz w:val="20"/>
                <w:szCs w:val="20"/>
                <w:color w:val="auto"/>
              </w:rPr>
            </w:pPr>
            <w:r>
              <w:rPr>
                <w:rFonts w:ascii="Arial" w:cs="Arial" w:eastAsia="Arial" w:hAnsi="Arial"/>
                <w:sz w:val="9"/>
                <w:szCs w:val="9"/>
                <w:color w:val="auto"/>
              </w:rPr>
              <w:t>2023</w:t>
            </w:r>
          </w:p>
        </w:tc>
        <w:tc>
          <w:tcPr>
            <w:tcW w:w="820" w:type="dxa"/>
            <w:vAlign w:val="bottom"/>
          </w:tcPr>
          <w:p>
            <w:pPr>
              <w:jc w:val="right"/>
              <w:spacing w:after="0" w:line="86" w:lineRule="exact"/>
              <w:rPr>
                <w:sz w:val="20"/>
                <w:szCs w:val="20"/>
                <w:color w:val="auto"/>
              </w:rPr>
            </w:pPr>
            <w:r>
              <w:rPr>
                <w:rFonts w:ascii="Arial" w:cs="Arial" w:eastAsia="Arial" w:hAnsi="Arial"/>
                <w:sz w:val="9"/>
                <w:szCs w:val="9"/>
                <w:color w:val="auto"/>
              </w:rPr>
              <w:t>630,000</w:t>
            </w:r>
          </w:p>
        </w:tc>
        <w:tc>
          <w:tcPr>
            <w:tcW w:w="880" w:type="dxa"/>
            <w:vAlign w:val="bottom"/>
          </w:tcPr>
          <w:p>
            <w:pPr>
              <w:jc w:val="right"/>
              <w:ind w:right="53"/>
              <w:spacing w:after="0" w:line="86" w:lineRule="exact"/>
              <w:rPr>
                <w:sz w:val="20"/>
                <w:szCs w:val="20"/>
                <w:color w:val="auto"/>
              </w:rPr>
            </w:pPr>
            <w:r>
              <w:rPr>
                <w:rFonts w:ascii="Arial" w:cs="Arial" w:eastAsia="Arial" w:hAnsi="Arial"/>
                <w:sz w:val="9"/>
                <w:szCs w:val="9"/>
                <w:color w:val="auto"/>
              </w:rPr>
              <w:t>250,000</w:t>
            </w:r>
          </w:p>
        </w:tc>
        <w:tc>
          <w:tcPr>
            <w:tcW w:w="900" w:type="dxa"/>
            <w:vAlign w:val="bottom"/>
          </w:tcPr>
          <w:p>
            <w:pPr>
              <w:jc w:val="right"/>
              <w:ind w:right="33"/>
              <w:spacing w:after="0" w:line="86" w:lineRule="exact"/>
              <w:rPr>
                <w:sz w:val="20"/>
                <w:szCs w:val="20"/>
                <w:color w:val="auto"/>
              </w:rPr>
            </w:pPr>
            <w:r>
              <w:rPr>
                <w:rFonts w:ascii="Arial" w:cs="Arial" w:eastAsia="Arial" w:hAnsi="Arial"/>
                <w:sz w:val="9"/>
                <w:szCs w:val="9"/>
                <w:color w:val="auto"/>
              </w:rPr>
              <w:t>2,876,455</w:t>
            </w:r>
          </w:p>
        </w:tc>
        <w:tc>
          <w:tcPr>
            <w:tcW w:w="860" w:type="dxa"/>
            <w:vAlign w:val="bottom"/>
          </w:tcPr>
          <w:p>
            <w:pPr>
              <w:jc w:val="right"/>
              <w:ind w:right="72"/>
              <w:spacing w:after="0" w:line="86" w:lineRule="exact"/>
              <w:rPr>
                <w:sz w:val="20"/>
                <w:szCs w:val="20"/>
                <w:color w:val="auto"/>
              </w:rPr>
            </w:pPr>
            <w:r>
              <w:rPr>
                <w:rFonts w:ascii="Arial" w:cs="Arial" w:eastAsia="Arial" w:hAnsi="Arial"/>
                <w:sz w:val="9"/>
                <w:szCs w:val="9"/>
                <w:color w:val="auto"/>
              </w:rPr>
              <w:t>1,755,008</w:t>
            </w:r>
          </w:p>
        </w:tc>
        <w:tc>
          <w:tcPr>
            <w:tcW w:w="900" w:type="dxa"/>
            <w:vAlign w:val="bottom"/>
          </w:tcPr>
          <w:p>
            <w:pPr>
              <w:jc w:val="right"/>
              <w:ind w:right="54"/>
              <w:spacing w:after="0" w:line="86" w:lineRule="exact"/>
              <w:rPr>
                <w:sz w:val="20"/>
                <w:szCs w:val="20"/>
                <w:color w:val="auto"/>
              </w:rPr>
            </w:pPr>
            <w:r>
              <w:rPr>
                <w:rFonts w:ascii="Arial" w:cs="Arial" w:eastAsia="Arial" w:hAnsi="Arial"/>
                <w:sz w:val="9"/>
                <w:szCs w:val="9"/>
                <w:color w:val="auto"/>
              </w:rPr>
              <w:t>1,169,622</w:t>
            </w:r>
          </w:p>
        </w:tc>
        <w:tc>
          <w:tcPr>
            <w:tcW w:w="1080" w:type="dxa"/>
            <w:vAlign w:val="bottom"/>
          </w:tcPr>
          <w:p>
            <w:pPr>
              <w:jc w:val="right"/>
              <w:ind w:right="53"/>
              <w:spacing w:after="0" w:line="86" w:lineRule="exact"/>
              <w:rPr>
                <w:sz w:val="20"/>
                <w:szCs w:val="20"/>
                <w:color w:val="auto"/>
              </w:rPr>
            </w:pPr>
            <w:r>
              <w:rPr>
                <w:rFonts w:ascii="Arial" w:cs="Arial" w:eastAsia="Arial" w:hAnsi="Arial"/>
                <w:sz w:val="9"/>
                <w:szCs w:val="9"/>
                <w:color w:val="auto"/>
              </w:rPr>
              <w:t>10,817</w:t>
            </w:r>
          </w:p>
        </w:tc>
        <w:tc>
          <w:tcPr>
            <w:tcW w:w="880" w:type="dxa"/>
            <w:vAlign w:val="bottom"/>
          </w:tcPr>
          <w:p>
            <w:pPr>
              <w:jc w:val="right"/>
              <w:spacing w:after="0" w:line="86" w:lineRule="exact"/>
              <w:rPr>
                <w:sz w:val="20"/>
                <w:szCs w:val="20"/>
                <w:color w:val="auto"/>
              </w:rPr>
            </w:pPr>
            <w:r>
              <w:rPr>
                <w:rFonts w:ascii="Arial" w:cs="Arial" w:eastAsia="Arial" w:hAnsi="Arial"/>
                <w:sz w:val="9"/>
                <w:szCs w:val="9"/>
                <w:color w:val="auto"/>
              </w:rPr>
              <w:t>6,691,902</w:t>
            </w:r>
          </w:p>
        </w:tc>
        <w:tc>
          <w:tcPr>
            <w:tcW w:w="0" w:type="dxa"/>
            <w:vAlign w:val="bottom"/>
          </w:tcPr>
          <w:p>
            <w:pPr>
              <w:spacing w:after="0"/>
              <w:rPr>
                <w:sz w:val="1"/>
                <w:szCs w:val="1"/>
                <w:color w:val="auto"/>
              </w:rPr>
            </w:pPr>
          </w:p>
        </w:tc>
      </w:tr>
    </w:tbl>
    <w:p>
      <w:pPr>
        <w:ind w:left="200"/>
        <w:spacing w:after="0" w:line="226" w:lineRule="auto"/>
        <w:rPr>
          <w:sz w:val="20"/>
          <w:szCs w:val="20"/>
          <w:color w:val="auto"/>
        </w:rPr>
      </w:pPr>
      <w:r>
        <w:rPr>
          <w:rFonts w:ascii="Arial" w:cs="Arial" w:eastAsia="Arial" w:hAnsi="Arial"/>
          <w:sz w:val="14"/>
          <w:szCs w:val="14"/>
          <w:color w:val="auto"/>
        </w:rPr>
        <w:t>Chief Legal &amp;</w:t>
      </w:r>
    </w:p>
    <w:p>
      <w:pPr>
        <w:ind w:left="200"/>
        <w:spacing w:after="0"/>
        <w:rPr>
          <w:sz w:val="20"/>
          <w:szCs w:val="20"/>
          <w:color w:val="auto"/>
        </w:rPr>
      </w:pPr>
      <w:r>
        <w:rPr>
          <w:rFonts w:ascii="Arial" w:cs="Arial" w:eastAsia="Arial" w:hAnsi="Arial"/>
          <w:sz w:val="14"/>
          <w:szCs w:val="14"/>
          <w:color w:val="auto"/>
        </w:rPr>
        <w:t>Corporate Affairs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Officer &amp; Corporate</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Secretary</w:t>
      </w:r>
    </w:p>
    <w:p>
      <w:pPr>
        <w:spacing w:after="0" w:line="167" w:lineRule="exact"/>
        <w:rPr>
          <w:sz w:val="20"/>
          <w:szCs w:val="20"/>
          <w:color w:val="auto"/>
        </w:rPr>
      </w:pPr>
    </w:p>
    <w:p>
      <w:pPr>
        <w:ind w:left="380" w:right="439" w:hanging="250"/>
        <w:spacing w:after="0" w:line="236" w:lineRule="auto"/>
        <w:tabs>
          <w:tab w:leader="none" w:pos="380" w:val="left"/>
        </w:tabs>
        <w:numPr>
          <w:ilvl w:val="0"/>
          <w:numId w:val="98"/>
        </w:numPr>
        <w:rPr>
          <w:rFonts w:ascii="Arial" w:cs="Arial" w:eastAsia="Arial" w:hAnsi="Arial"/>
          <w:sz w:val="16"/>
          <w:szCs w:val="16"/>
          <w:color w:val="auto"/>
          <w:vertAlign w:val="superscript"/>
        </w:rPr>
      </w:pPr>
      <w:r>
        <w:rPr>
          <w:rFonts w:ascii="Arial" w:cs="Arial" w:eastAsia="Arial" w:hAnsi="Arial"/>
          <w:sz w:val="13"/>
          <w:szCs w:val="13"/>
          <w:color w:val="auto"/>
        </w:rPr>
        <w:t>Amounts shown are not reduced to reflect the NEOs’ elections, if any, to defer receipt of salary into our 401(k) plan, ESPP or non-qualified deferred compensation plans.</w:t>
      </w:r>
    </w:p>
    <w:p>
      <w:pPr>
        <w:spacing w:after="0" w:line="50" w:lineRule="exact"/>
        <w:rPr>
          <w:rFonts w:ascii="Arial" w:cs="Arial" w:eastAsia="Arial" w:hAnsi="Arial"/>
          <w:sz w:val="16"/>
          <w:szCs w:val="16"/>
          <w:color w:val="auto"/>
          <w:vertAlign w:val="superscript"/>
        </w:rPr>
      </w:pPr>
    </w:p>
    <w:p>
      <w:pPr>
        <w:ind w:left="380" w:right="439" w:hanging="250"/>
        <w:spacing w:after="0" w:line="254" w:lineRule="auto"/>
        <w:tabs>
          <w:tab w:leader="none" w:pos="380" w:val="left"/>
        </w:tabs>
        <w:numPr>
          <w:ilvl w:val="0"/>
          <w:numId w:val="98"/>
        </w:numPr>
        <w:rPr>
          <w:rFonts w:ascii="Arial" w:cs="Arial" w:eastAsia="Arial" w:hAnsi="Arial"/>
          <w:sz w:val="16"/>
          <w:szCs w:val="16"/>
          <w:color w:val="auto"/>
          <w:vertAlign w:val="superscript"/>
        </w:rPr>
      </w:pPr>
      <w:r>
        <w:rPr>
          <w:rFonts w:ascii="Arial" w:cs="Arial" w:eastAsia="Arial" w:hAnsi="Arial"/>
          <w:sz w:val="13"/>
          <w:szCs w:val="13"/>
          <w:color w:val="auto"/>
        </w:rPr>
        <w:t>The amount in the Bonus column for Mr. Toohey reflects a special one-time additional cash payment approved by the Compensation Committee in January 2026 in recognition of his success in 2025 in executing our organizational health initiative and in planning and leading the integration of the colleagues who joined FIS upon our acquisition of the Issuer Solutions business from Global Payments.</w:t>
      </w:r>
    </w:p>
    <w:p>
      <w:pPr>
        <w:spacing w:after="0" w:line="42" w:lineRule="exact"/>
        <w:rPr>
          <w:rFonts w:ascii="Arial" w:cs="Arial" w:eastAsia="Arial" w:hAnsi="Arial"/>
          <w:sz w:val="16"/>
          <w:szCs w:val="16"/>
          <w:color w:val="auto"/>
          <w:vertAlign w:val="superscript"/>
        </w:rPr>
      </w:pPr>
    </w:p>
    <w:p>
      <w:pPr>
        <w:ind w:left="380" w:right="159" w:hanging="250"/>
        <w:spacing w:after="0" w:line="258" w:lineRule="auto"/>
        <w:tabs>
          <w:tab w:leader="none" w:pos="380" w:val="left"/>
        </w:tabs>
        <w:numPr>
          <w:ilvl w:val="0"/>
          <w:numId w:val="98"/>
        </w:numPr>
        <w:rPr>
          <w:rFonts w:ascii="Arial" w:cs="Arial" w:eastAsia="Arial" w:hAnsi="Arial"/>
          <w:sz w:val="16"/>
          <w:szCs w:val="16"/>
          <w:color w:val="auto"/>
          <w:vertAlign w:val="superscript"/>
        </w:rPr>
      </w:pPr>
      <w:r>
        <w:rPr>
          <w:rFonts w:ascii="Arial" w:cs="Arial" w:eastAsia="Arial" w:hAnsi="Arial"/>
          <w:sz w:val="13"/>
          <w:szCs w:val="13"/>
          <w:color w:val="auto"/>
        </w:rPr>
        <w:t>Amounts represent the grant date fair value of stock awards computed in accordance with FASB ASC Topic 718 with respect to all NEOs. Assumptions used in the calculation of these amounts are included in Note 19 to the Company’s consolidated financial statements for the year ended December 31, 2025, included in the Company’s Annual Report on Form 10-K filed with the SEC on February 24, 2026. Stock awards in 2025 consisted of performance stock units and time-based RSUs. Aggregate grant date fair value for performance stock units is based on target performance, which was the probable outcome of the performance conditions as of the grant date. The aggregate grant date fair value of the 2025 performance stock unit grants assuming the maximum performance level would be: $30,062,464 for Ms. Ferris, $9,750,054 for Mr. Kehoe, $5,000,058 for Mr. Bhathena, $3,750,095 for Mr. Toohey and $5,000,058 for Ms. Tsai.</w:t>
      </w:r>
    </w:p>
    <w:p>
      <w:pPr>
        <w:spacing w:after="0" w:line="39" w:lineRule="exact"/>
        <w:rPr>
          <w:rFonts w:ascii="Arial" w:cs="Arial" w:eastAsia="Arial" w:hAnsi="Arial"/>
          <w:sz w:val="16"/>
          <w:szCs w:val="16"/>
          <w:color w:val="auto"/>
          <w:vertAlign w:val="superscript"/>
        </w:rPr>
      </w:pPr>
    </w:p>
    <w:p>
      <w:pPr>
        <w:ind w:left="380" w:right="179" w:hanging="250"/>
        <w:spacing w:after="0" w:line="258" w:lineRule="auto"/>
        <w:tabs>
          <w:tab w:leader="none" w:pos="380" w:val="left"/>
        </w:tabs>
        <w:numPr>
          <w:ilvl w:val="0"/>
          <w:numId w:val="98"/>
        </w:numPr>
        <w:rPr>
          <w:rFonts w:ascii="Arial" w:cs="Arial" w:eastAsia="Arial" w:hAnsi="Arial"/>
          <w:sz w:val="16"/>
          <w:szCs w:val="16"/>
          <w:color w:val="auto"/>
          <w:vertAlign w:val="superscript"/>
        </w:rPr>
      </w:pPr>
      <w:r>
        <w:rPr>
          <w:rFonts w:ascii="Arial" w:cs="Arial" w:eastAsia="Arial" w:hAnsi="Arial"/>
          <w:sz w:val="13"/>
          <w:szCs w:val="13"/>
          <w:color w:val="auto"/>
        </w:rPr>
        <w:t>Each of the NEOs received a 401(k) matching contribution from the Company of $10,500. The Board requires the CEO to use the corporate aircraft for all business and personal travel for purposes of security, rapid availability, efficiency, and communication connectivity. While corporate aircraft travel is required, any personal travel that would exceed $250,000 annually requires Board approval. Ms. Ferris used the corporate aircraft for personal use for a total expense of $</w:t>
      </w:r>
      <w:r>
        <w:rPr>
          <w:rFonts w:ascii="Arial" w:cs="Arial" w:eastAsia="Arial" w:hAnsi="Arial"/>
          <w:sz w:val="13"/>
          <w:szCs w:val="13"/>
          <w:color w:val="auto"/>
          <w:highlight w:val="white"/>
        </w:rPr>
        <w:t>114,045.</w:t>
      </w:r>
      <w:r>
        <w:rPr>
          <w:rFonts w:ascii="Arial" w:cs="Arial" w:eastAsia="Arial" w:hAnsi="Arial"/>
          <w:sz w:val="13"/>
          <w:szCs w:val="13"/>
          <w:color w:val="auto"/>
        </w:rPr>
        <w:t xml:space="preserve"> The calculation of incremental cost of personal aircraft usage is based on estimated variable costs to the Company, including fuel costs, landing fees, away hanger space, deicing, international fees, maintenance, crew overnight expenses and catering. In addition to the incremental cost of personal aircraft use, we also impute taxable income to the NEOs for any personal aircraft use in accordance with IRS regulations and FIS does not provide tax reimbursements, or “gross-ups,” on those amounts. The amount for Mr. Toohey includes a relocation expense reimbursement of $7,751.</w:t>
      </w:r>
    </w:p>
    <w:p>
      <w:pPr>
        <w:spacing w:after="0" w:line="40" w:lineRule="exact"/>
        <w:rPr>
          <w:rFonts w:ascii="Arial" w:cs="Arial" w:eastAsia="Arial" w:hAnsi="Arial"/>
          <w:sz w:val="16"/>
          <w:szCs w:val="16"/>
          <w:color w:val="auto"/>
          <w:vertAlign w:val="superscript"/>
        </w:rPr>
      </w:pPr>
    </w:p>
    <w:p>
      <w:pPr>
        <w:ind w:left="380" w:right="139" w:hanging="250"/>
        <w:spacing w:after="0" w:line="236" w:lineRule="auto"/>
        <w:tabs>
          <w:tab w:leader="none" w:pos="380" w:val="left"/>
        </w:tabs>
        <w:numPr>
          <w:ilvl w:val="0"/>
          <w:numId w:val="98"/>
        </w:numPr>
        <w:rPr>
          <w:rFonts w:ascii="Arial" w:cs="Arial" w:eastAsia="Arial" w:hAnsi="Arial"/>
          <w:sz w:val="16"/>
          <w:szCs w:val="16"/>
          <w:color w:val="auto"/>
          <w:vertAlign w:val="superscript"/>
        </w:rPr>
      </w:pPr>
      <w:r>
        <w:rPr>
          <w:rFonts w:ascii="Arial" w:cs="Arial" w:eastAsia="Arial" w:hAnsi="Arial"/>
          <w:sz w:val="13"/>
          <w:szCs w:val="13"/>
          <w:color w:val="auto"/>
        </w:rPr>
        <w:t>As disclosed in our 2025 proxy statement, amounts reported for 2023 reflect reduction for clawbacks in the following amount: $1,780 for Ms. Ferris, $474 for Mr. Kehoe and $729 for Ms. Tsai,</w:t>
      </w:r>
    </w:p>
    <w:p>
      <w:pPr>
        <w:spacing w:after="0" w:line="32" w:lineRule="exact"/>
        <w:rPr>
          <w:rFonts w:ascii="Arial" w:cs="Arial" w:eastAsia="Arial" w:hAnsi="Arial"/>
          <w:sz w:val="16"/>
          <w:szCs w:val="16"/>
          <w:color w:val="auto"/>
          <w:vertAlign w:val="superscript"/>
        </w:rPr>
      </w:pPr>
    </w:p>
    <w:p>
      <w:pPr>
        <w:ind w:left="380" w:hanging="250"/>
        <w:spacing w:after="0"/>
        <w:tabs>
          <w:tab w:leader="none" w:pos="380" w:val="left"/>
        </w:tabs>
        <w:numPr>
          <w:ilvl w:val="0"/>
          <w:numId w:val="98"/>
        </w:numPr>
        <w:rPr>
          <w:rFonts w:ascii="Arial" w:cs="Arial" w:eastAsia="Arial" w:hAnsi="Arial"/>
          <w:sz w:val="16"/>
          <w:szCs w:val="16"/>
          <w:color w:val="auto"/>
          <w:vertAlign w:val="superscript"/>
        </w:rPr>
      </w:pPr>
      <w:r>
        <w:rPr>
          <w:rFonts w:ascii="Arial" w:cs="Arial" w:eastAsia="Arial" w:hAnsi="Arial"/>
          <w:sz w:val="13"/>
          <w:szCs w:val="13"/>
          <w:color w:val="auto"/>
        </w:rPr>
        <w:t>Mr. Bhathena resigned from employment at the Company effective March 20, 2026.</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hanging="429"/>
        <w:spacing w:after="0"/>
        <w:tabs>
          <w:tab w:leader="none" w:pos="620" w:val="left"/>
        </w:tabs>
        <w:numPr>
          <w:ilvl w:val="0"/>
          <w:numId w:val="99"/>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1440" w:right="1440" w:bottom="1440" w:gutter="0" w:footer="0" w:header="0"/>
          <w:type w:val="continuous"/>
        </w:sectPr>
      </w:pPr>
    </w:p>
    <w:bookmarkStart w:id="75" w:name="page76"/>
    <w:bookmarkEnd w:id="75"/>
    <w:p>
      <w:pPr>
        <w:ind w:left="716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2025 Grants of Plan-Based Awards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jc w:val="right"/>
              <w:ind w:right="31"/>
              <w:spacing w:after="0"/>
              <w:rPr>
                <w:sz w:val="20"/>
                <w:szCs w:val="20"/>
                <w:color w:val="auto"/>
              </w:rPr>
            </w:pPr>
            <w:r>
              <w:rPr>
                <w:rFonts w:ascii="Arial" w:cs="Arial" w:eastAsia="Arial" w:hAnsi="Arial"/>
                <w:sz w:val="13"/>
                <w:szCs w:val="13"/>
                <w:b w:val="1"/>
                <w:bCs w:val="1"/>
                <w:color w:val="431C5B"/>
              </w:rPr>
              <w:t>(i) All 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right"/>
              <w:ind w:right="31"/>
              <w:spacing w:after="0"/>
              <w:rPr>
                <w:sz w:val="20"/>
                <w:szCs w:val="20"/>
                <w:color w:val="auto"/>
              </w:rPr>
            </w:pPr>
            <w:r>
              <w:rPr>
                <w:rFonts w:ascii="Arial" w:cs="Arial" w:eastAsia="Arial" w:hAnsi="Arial"/>
                <w:sz w:val="13"/>
                <w:szCs w:val="13"/>
                <w:b w:val="1"/>
                <w:bCs w:val="1"/>
                <w:color w:val="431C5B"/>
              </w:rPr>
              <w:t>Stock</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(m) Grant</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431C5B"/>
              </w:rPr>
              <w:t>Estimated Future Payouts Under</w:t>
            </w:r>
          </w:p>
        </w:tc>
        <w:tc>
          <w:tcPr>
            <w:tcW w:w="2420" w:type="dxa"/>
            <w:vAlign w:val="bottom"/>
            <w:gridSpan w:val="3"/>
            <w:vMerge w:val="restart"/>
          </w:tcPr>
          <w:p>
            <w:pPr>
              <w:jc w:val="right"/>
              <w:ind w:right="170"/>
              <w:spacing w:after="0"/>
              <w:rPr>
                <w:sz w:val="20"/>
                <w:szCs w:val="20"/>
                <w:color w:val="auto"/>
              </w:rPr>
            </w:pPr>
            <w:r>
              <w:rPr>
                <w:rFonts w:ascii="Arial" w:cs="Arial" w:eastAsia="Arial" w:hAnsi="Arial"/>
                <w:sz w:val="13"/>
                <w:szCs w:val="13"/>
                <w:b w:val="1"/>
                <w:bCs w:val="1"/>
                <w:color w:val="431C5B"/>
              </w:rPr>
              <w:t>Estimated Future Payouts Under</w:t>
            </w:r>
          </w:p>
        </w:tc>
        <w:tc>
          <w:tcPr>
            <w:tcW w:w="940" w:type="dxa"/>
            <w:vAlign w:val="bottom"/>
          </w:tcPr>
          <w:p>
            <w:pPr>
              <w:jc w:val="right"/>
              <w:ind w:right="31"/>
              <w:spacing w:after="0"/>
              <w:rPr>
                <w:sz w:val="20"/>
                <w:szCs w:val="20"/>
                <w:color w:val="auto"/>
              </w:rPr>
            </w:pPr>
            <w:r>
              <w:rPr>
                <w:rFonts w:ascii="Arial" w:cs="Arial" w:eastAsia="Arial" w:hAnsi="Arial"/>
                <w:sz w:val="13"/>
                <w:szCs w:val="13"/>
                <w:b w:val="1"/>
                <w:bCs w:val="1"/>
                <w:color w:val="431C5B"/>
              </w:rPr>
              <w:t>Awards:</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Date Fair</w:t>
            </w:r>
          </w:p>
        </w:tc>
        <w:tc>
          <w:tcPr>
            <w:tcW w:w="0" w:type="dxa"/>
            <w:vAlign w:val="bottom"/>
          </w:tcPr>
          <w:p>
            <w:pPr>
              <w:spacing w:after="0"/>
              <w:rPr>
                <w:sz w:val="1"/>
                <w:szCs w:val="1"/>
                <w:color w:val="auto"/>
              </w:rPr>
            </w:pPr>
          </w:p>
        </w:tc>
      </w:tr>
      <w:tr>
        <w:trPr>
          <w:trHeight w:val="126"/>
        </w:trPr>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940" w:type="dxa"/>
            <w:vAlign w:val="bottom"/>
          </w:tcPr>
          <w:p>
            <w:pPr>
              <w:jc w:val="right"/>
              <w:ind w:right="31"/>
              <w:spacing w:after="0" w:line="126" w:lineRule="exact"/>
              <w:rPr>
                <w:sz w:val="20"/>
                <w:szCs w:val="20"/>
                <w:color w:val="auto"/>
              </w:rPr>
            </w:pPr>
            <w:r>
              <w:rPr>
                <w:rFonts w:ascii="Arial" w:cs="Arial" w:eastAsia="Arial" w:hAnsi="Arial"/>
                <w:sz w:val="13"/>
                <w:szCs w:val="13"/>
                <w:b w:val="1"/>
                <w:bCs w:val="1"/>
                <w:color w:val="431C5B"/>
              </w:rPr>
              <w:t>Number of</w:t>
            </w:r>
          </w:p>
        </w:tc>
        <w:tc>
          <w:tcPr>
            <w:tcW w:w="860" w:type="dxa"/>
            <w:vAlign w:val="bottom"/>
          </w:tcPr>
          <w:p>
            <w:pPr>
              <w:jc w:val="right"/>
              <w:spacing w:after="0" w:line="126" w:lineRule="exact"/>
              <w:rPr>
                <w:sz w:val="20"/>
                <w:szCs w:val="20"/>
                <w:color w:val="auto"/>
              </w:rPr>
            </w:pPr>
            <w:r>
              <w:rPr>
                <w:rFonts w:ascii="Arial" w:cs="Arial" w:eastAsia="Arial" w:hAnsi="Arial"/>
                <w:sz w:val="13"/>
                <w:szCs w:val="13"/>
                <w:b w:val="1"/>
                <w:bCs w:val="1"/>
                <w:color w:val="431C5B"/>
              </w:rPr>
              <w:t>Value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tcBorders>
              <w:bottom w:val="single" w:sz="8" w:color="431C5B"/>
            </w:tcBorders>
            <w:gridSpan w:val="3"/>
          </w:tcPr>
          <w:p>
            <w:pPr>
              <w:jc w:val="right"/>
              <w:ind w:right="90"/>
              <w:spacing w:after="0" w:line="129" w:lineRule="exact"/>
              <w:rPr>
                <w:sz w:val="20"/>
                <w:szCs w:val="20"/>
                <w:color w:val="auto"/>
              </w:rPr>
            </w:pPr>
            <w:r>
              <w:rPr>
                <w:rFonts w:ascii="Arial" w:cs="Arial" w:eastAsia="Arial" w:hAnsi="Arial"/>
                <w:sz w:val="11"/>
                <w:szCs w:val="11"/>
                <w:b w:val="1"/>
                <w:bCs w:val="1"/>
                <w:color w:val="431C5B"/>
              </w:rPr>
              <w:t>Non-Equity Incentive Plan Awards</w:t>
            </w:r>
            <w:r>
              <w:rPr>
                <w:rFonts w:ascii="Arial" w:cs="Arial" w:eastAsia="Arial" w:hAnsi="Arial"/>
                <w:sz w:val="14"/>
                <w:szCs w:val="14"/>
                <w:b w:val="1"/>
                <w:bCs w:val="1"/>
                <w:color w:val="431C5B"/>
                <w:vertAlign w:val="superscript"/>
              </w:rPr>
              <w:t>(2)</w:t>
            </w:r>
          </w:p>
        </w:tc>
        <w:tc>
          <w:tcPr>
            <w:tcW w:w="80" w:type="dxa"/>
            <w:vAlign w:val="bottom"/>
          </w:tcPr>
          <w:p>
            <w:pPr>
              <w:spacing w:after="0"/>
              <w:rPr>
                <w:sz w:val="12"/>
                <w:szCs w:val="12"/>
                <w:color w:val="auto"/>
              </w:rPr>
            </w:pPr>
          </w:p>
        </w:tc>
        <w:tc>
          <w:tcPr>
            <w:tcW w:w="2420" w:type="dxa"/>
            <w:vAlign w:val="bottom"/>
            <w:tcBorders>
              <w:bottom w:val="single" w:sz="8" w:color="431C5B"/>
            </w:tcBorders>
            <w:gridSpan w:val="3"/>
          </w:tcPr>
          <w:p>
            <w:pPr>
              <w:jc w:val="right"/>
              <w:ind w:right="210"/>
              <w:spacing w:after="0" w:line="129" w:lineRule="exact"/>
              <w:rPr>
                <w:sz w:val="20"/>
                <w:szCs w:val="20"/>
                <w:color w:val="auto"/>
              </w:rPr>
            </w:pPr>
            <w:r>
              <w:rPr>
                <w:rFonts w:ascii="Arial" w:cs="Arial" w:eastAsia="Arial" w:hAnsi="Arial"/>
                <w:sz w:val="11"/>
                <w:szCs w:val="11"/>
                <w:b w:val="1"/>
                <w:bCs w:val="1"/>
                <w:color w:val="431C5B"/>
              </w:rPr>
              <w:t>Equity Incentive Plan Awards</w:t>
            </w:r>
            <w:r>
              <w:rPr>
                <w:rFonts w:ascii="Arial" w:cs="Arial" w:eastAsia="Arial" w:hAnsi="Arial"/>
                <w:sz w:val="14"/>
                <w:szCs w:val="14"/>
                <w:b w:val="1"/>
                <w:bCs w:val="1"/>
                <w:color w:val="431C5B"/>
                <w:vertAlign w:val="superscript"/>
              </w:rPr>
              <w:t>(3)</w:t>
            </w:r>
          </w:p>
        </w:tc>
        <w:tc>
          <w:tcPr>
            <w:tcW w:w="940" w:type="dxa"/>
            <w:vAlign w:val="bottom"/>
          </w:tcPr>
          <w:p>
            <w:pPr>
              <w:jc w:val="right"/>
              <w:ind w:right="31"/>
              <w:spacing w:after="0" w:line="129" w:lineRule="exact"/>
              <w:rPr>
                <w:sz w:val="20"/>
                <w:szCs w:val="20"/>
                <w:color w:val="auto"/>
              </w:rPr>
            </w:pPr>
            <w:r>
              <w:rPr>
                <w:rFonts w:ascii="Arial" w:cs="Arial" w:eastAsia="Arial" w:hAnsi="Arial"/>
                <w:sz w:val="13"/>
                <w:szCs w:val="13"/>
                <w:b w:val="1"/>
                <w:bCs w:val="1"/>
                <w:color w:val="431C5B"/>
              </w:rPr>
              <w:t>Securities</w:t>
            </w:r>
          </w:p>
        </w:tc>
        <w:tc>
          <w:tcPr>
            <w:tcW w:w="860" w:type="dxa"/>
            <w:vAlign w:val="bottom"/>
          </w:tcPr>
          <w:p>
            <w:pPr>
              <w:jc w:val="right"/>
              <w:spacing w:after="0" w:line="129" w:lineRule="exact"/>
              <w:rPr>
                <w:sz w:val="20"/>
                <w:szCs w:val="20"/>
                <w:color w:val="auto"/>
              </w:rPr>
            </w:pPr>
            <w:r>
              <w:rPr>
                <w:rFonts w:ascii="Arial" w:cs="Arial" w:eastAsia="Arial" w:hAnsi="Arial"/>
                <w:sz w:val="13"/>
                <w:szCs w:val="13"/>
                <w:b w:val="1"/>
                <w:bCs w:val="1"/>
                <w:color w:val="431C5B"/>
              </w:rPr>
              <w:t>Stock and</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11"/>
              <w:spacing w:after="0"/>
              <w:rPr>
                <w:sz w:val="20"/>
                <w:szCs w:val="20"/>
                <w:color w:val="auto"/>
              </w:rPr>
            </w:pPr>
            <w:r>
              <w:rPr>
                <w:rFonts w:ascii="Arial" w:cs="Arial" w:eastAsia="Arial" w:hAnsi="Arial"/>
                <w:sz w:val="13"/>
                <w:szCs w:val="13"/>
                <w:b w:val="1"/>
                <w:bCs w:val="1"/>
                <w:color w:val="431C5B"/>
              </w:rPr>
              <w:t>(c)</w:t>
            </w:r>
          </w:p>
        </w:tc>
        <w:tc>
          <w:tcPr>
            <w:tcW w:w="820" w:type="dxa"/>
            <w:vAlign w:val="bottom"/>
          </w:tcPr>
          <w:p>
            <w:pPr>
              <w:jc w:val="right"/>
              <w:ind w:right="10"/>
              <w:spacing w:after="0"/>
              <w:rPr>
                <w:sz w:val="20"/>
                <w:szCs w:val="20"/>
                <w:color w:val="auto"/>
              </w:rPr>
            </w:pPr>
            <w:r>
              <w:rPr>
                <w:rFonts w:ascii="Arial" w:cs="Arial" w:eastAsia="Arial" w:hAnsi="Arial"/>
                <w:sz w:val="13"/>
                <w:szCs w:val="13"/>
                <w:b w:val="1"/>
                <w:bCs w:val="1"/>
                <w:color w:val="431C5B"/>
              </w:rPr>
              <w:t>(d)</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431C5B"/>
              </w:rPr>
              <w:t>(e)</w:t>
            </w:r>
          </w:p>
        </w:tc>
        <w:tc>
          <w:tcPr>
            <w:tcW w:w="900" w:type="dxa"/>
            <w:vAlign w:val="bottom"/>
          </w:tcPr>
          <w:p>
            <w:pPr>
              <w:jc w:val="center"/>
              <w:ind w:left="411"/>
              <w:spacing w:after="0"/>
              <w:rPr>
                <w:sz w:val="20"/>
                <w:szCs w:val="20"/>
                <w:color w:val="auto"/>
              </w:rPr>
            </w:pPr>
            <w:r>
              <w:rPr>
                <w:rFonts w:ascii="Arial" w:cs="Arial" w:eastAsia="Arial" w:hAnsi="Arial"/>
                <w:sz w:val="13"/>
                <w:szCs w:val="13"/>
                <w:b w:val="1"/>
                <w:bCs w:val="1"/>
                <w:color w:val="431C5B"/>
              </w:rPr>
              <w:t>(f)</w:t>
            </w:r>
          </w:p>
        </w:tc>
        <w:tc>
          <w:tcPr>
            <w:tcW w:w="780" w:type="dxa"/>
            <w:vAlign w:val="bottom"/>
          </w:tcPr>
          <w:p>
            <w:pPr>
              <w:jc w:val="right"/>
              <w:ind w:right="50"/>
              <w:spacing w:after="0"/>
              <w:rPr>
                <w:sz w:val="20"/>
                <w:szCs w:val="20"/>
                <w:color w:val="auto"/>
              </w:rPr>
            </w:pPr>
            <w:r>
              <w:rPr>
                <w:rFonts w:ascii="Arial" w:cs="Arial" w:eastAsia="Arial" w:hAnsi="Arial"/>
                <w:sz w:val="13"/>
                <w:szCs w:val="13"/>
                <w:b w:val="1"/>
                <w:bCs w:val="1"/>
                <w:color w:val="431C5B"/>
              </w:rPr>
              <w:t>(g)</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431C5B"/>
              </w:rPr>
              <w:t>(h)</w:t>
            </w:r>
          </w:p>
        </w:tc>
        <w:tc>
          <w:tcPr>
            <w:tcW w:w="940" w:type="dxa"/>
            <w:vAlign w:val="bottom"/>
          </w:tcPr>
          <w:p>
            <w:pPr>
              <w:jc w:val="right"/>
              <w:ind w:right="31"/>
              <w:spacing w:after="0"/>
              <w:rPr>
                <w:sz w:val="20"/>
                <w:szCs w:val="20"/>
                <w:color w:val="auto"/>
              </w:rPr>
            </w:pPr>
            <w:r>
              <w:rPr>
                <w:rFonts w:ascii="Arial" w:cs="Arial" w:eastAsia="Arial" w:hAnsi="Arial"/>
                <w:sz w:val="13"/>
                <w:szCs w:val="13"/>
                <w:b w:val="1"/>
                <w:bCs w:val="1"/>
                <w:color w:val="431C5B"/>
              </w:rPr>
              <w:t>Underlying</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Option</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431C5B"/>
              </w:rPr>
              <w:t>(b) Grant</w:t>
            </w:r>
          </w:p>
        </w:tc>
        <w:tc>
          <w:tcPr>
            <w:tcW w:w="220" w:type="dxa"/>
            <w:vAlign w:val="bottom"/>
          </w:tcPr>
          <w:p>
            <w:pPr>
              <w:spacing w:after="0"/>
              <w:rPr>
                <w:sz w:val="12"/>
                <w:szCs w:val="12"/>
                <w:color w:val="auto"/>
              </w:rPr>
            </w:pPr>
          </w:p>
        </w:tc>
        <w:tc>
          <w:tcPr>
            <w:tcW w:w="840" w:type="dxa"/>
            <w:vAlign w:val="bottom"/>
          </w:tcPr>
          <w:p>
            <w:pPr>
              <w:jc w:val="right"/>
              <w:ind w:right="11"/>
              <w:spacing w:after="0"/>
              <w:rPr>
                <w:sz w:val="20"/>
                <w:szCs w:val="20"/>
                <w:color w:val="auto"/>
              </w:rPr>
            </w:pPr>
            <w:r>
              <w:rPr>
                <w:rFonts w:ascii="Arial" w:cs="Arial" w:eastAsia="Arial" w:hAnsi="Arial"/>
                <w:sz w:val="13"/>
                <w:szCs w:val="13"/>
                <w:b w:val="1"/>
                <w:bCs w:val="1"/>
                <w:color w:val="431C5B"/>
              </w:rPr>
              <w:t>Threshold</w:t>
            </w:r>
          </w:p>
        </w:tc>
        <w:tc>
          <w:tcPr>
            <w:tcW w:w="820" w:type="dxa"/>
            <w:vAlign w:val="bottom"/>
          </w:tcPr>
          <w:p>
            <w:pPr>
              <w:jc w:val="right"/>
              <w:ind w:right="30"/>
              <w:spacing w:after="0"/>
              <w:rPr>
                <w:sz w:val="20"/>
                <w:szCs w:val="20"/>
                <w:color w:val="auto"/>
              </w:rPr>
            </w:pPr>
            <w:r>
              <w:rPr>
                <w:rFonts w:ascii="Arial" w:cs="Arial" w:eastAsia="Arial" w:hAnsi="Arial"/>
                <w:sz w:val="13"/>
                <w:szCs w:val="13"/>
                <w:b w:val="1"/>
                <w:bCs w:val="1"/>
                <w:color w:val="431C5B"/>
              </w:rPr>
              <w:t>Target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431C5B"/>
              </w:rPr>
              <w:t>Maximum</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31C5B"/>
              </w:rPr>
              <w:t>Threshold</w:t>
            </w:r>
          </w:p>
        </w:tc>
        <w:tc>
          <w:tcPr>
            <w:tcW w:w="780" w:type="dxa"/>
            <w:vAlign w:val="bottom"/>
          </w:tcPr>
          <w:p>
            <w:pPr>
              <w:jc w:val="right"/>
              <w:ind w:right="50"/>
              <w:spacing w:after="0"/>
              <w:rPr>
                <w:sz w:val="20"/>
                <w:szCs w:val="20"/>
                <w:color w:val="auto"/>
              </w:rPr>
            </w:pPr>
            <w:r>
              <w:rPr>
                <w:rFonts w:ascii="Arial" w:cs="Arial" w:eastAsia="Arial" w:hAnsi="Arial"/>
                <w:sz w:val="13"/>
                <w:szCs w:val="13"/>
                <w:b w:val="1"/>
                <w:bCs w:val="1"/>
                <w:color w:val="431C5B"/>
              </w:rPr>
              <w:t>Target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431C5B"/>
              </w:rPr>
              <w:t>Maximum</w:t>
            </w:r>
          </w:p>
        </w:tc>
        <w:tc>
          <w:tcPr>
            <w:tcW w:w="940" w:type="dxa"/>
            <w:vAlign w:val="bottom"/>
          </w:tcPr>
          <w:p>
            <w:pPr>
              <w:jc w:val="right"/>
              <w:ind w:right="31"/>
              <w:spacing w:after="0"/>
              <w:rPr>
                <w:sz w:val="20"/>
                <w:szCs w:val="20"/>
                <w:color w:val="auto"/>
              </w:rPr>
            </w:pPr>
            <w:r>
              <w:rPr>
                <w:rFonts w:ascii="Arial" w:cs="Arial" w:eastAsia="Arial" w:hAnsi="Arial"/>
                <w:sz w:val="13"/>
                <w:szCs w:val="13"/>
                <w:b w:val="1"/>
                <w:bCs w:val="1"/>
                <w:color w:val="431C5B"/>
              </w:rPr>
              <w:t>Stock Units</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Awards</w:t>
            </w:r>
          </w:p>
        </w:tc>
        <w:tc>
          <w:tcPr>
            <w:tcW w:w="0" w:type="dxa"/>
            <w:vAlign w:val="bottom"/>
          </w:tcPr>
          <w:p>
            <w:pPr>
              <w:spacing w:after="0"/>
              <w:rPr>
                <w:sz w:val="1"/>
                <w:szCs w:val="1"/>
                <w:color w:val="auto"/>
              </w:rPr>
            </w:pPr>
          </w:p>
        </w:tc>
      </w:tr>
      <w:tr>
        <w:trPr>
          <w:trHeight w:val="180"/>
        </w:trPr>
        <w:tc>
          <w:tcPr>
            <w:tcW w:w="920" w:type="dxa"/>
            <w:vAlign w:val="bottom"/>
            <w:tcBorders>
              <w:bottom w:val="single" w:sz="8" w:color="431C5B"/>
            </w:tcBorders>
          </w:tcPr>
          <w:p>
            <w:pPr>
              <w:ind w:left="80"/>
              <w:spacing w:after="0"/>
              <w:rPr>
                <w:sz w:val="20"/>
                <w:szCs w:val="20"/>
                <w:color w:val="auto"/>
              </w:rPr>
            </w:pPr>
            <w:r>
              <w:rPr>
                <w:rFonts w:ascii="Arial" w:cs="Arial" w:eastAsia="Arial" w:hAnsi="Arial"/>
                <w:sz w:val="13"/>
                <w:szCs w:val="13"/>
                <w:b w:val="1"/>
                <w:bCs w:val="1"/>
                <w:color w:val="431C5B"/>
              </w:rPr>
              <w:t>(a) Name</w:t>
            </w:r>
          </w:p>
        </w:tc>
        <w:tc>
          <w:tcPr>
            <w:tcW w:w="880" w:type="dxa"/>
            <w:vAlign w:val="bottom"/>
            <w:tcBorders>
              <w:bottom w:val="single" w:sz="8" w:color="431C5B"/>
            </w:tcBorders>
          </w:tcPr>
          <w:p>
            <w:pPr>
              <w:jc w:val="right"/>
              <w:spacing w:after="0" w:line="180" w:lineRule="exact"/>
              <w:rPr>
                <w:sz w:val="20"/>
                <w:szCs w:val="20"/>
                <w:color w:val="auto"/>
              </w:rPr>
            </w:pPr>
            <w:r>
              <w:rPr>
                <w:rFonts w:ascii="Arial" w:cs="Arial" w:eastAsia="Arial" w:hAnsi="Arial"/>
                <w:sz w:val="13"/>
                <w:szCs w:val="13"/>
                <w:b w:val="1"/>
                <w:bCs w:val="1"/>
                <w:color w:val="431C5B"/>
              </w:rPr>
              <w:t xml:space="preserve">Date/Plan </w:t>
            </w:r>
            <w:r>
              <w:rPr>
                <w:rFonts w:ascii="Arial" w:cs="Arial" w:eastAsia="Arial" w:hAnsi="Arial"/>
                <w:sz w:val="16"/>
                <w:szCs w:val="16"/>
                <w:b w:val="1"/>
                <w:bCs w:val="1"/>
                <w:color w:val="431C5B"/>
                <w:vertAlign w:val="superscript"/>
              </w:rPr>
              <w:t>(1)</w:t>
            </w:r>
          </w:p>
        </w:tc>
        <w:tc>
          <w:tcPr>
            <w:tcW w:w="1060" w:type="dxa"/>
            <w:vAlign w:val="bottom"/>
            <w:tcBorders>
              <w:bottom w:val="single" w:sz="8" w:color="431C5B"/>
            </w:tcBorders>
            <w:gridSpan w:val="2"/>
          </w:tcPr>
          <w:p>
            <w:pPr>
              <w:jc w:val="right"/>
              <w:ind w:right="11"/>
              <w:spacing w:after="0"/>
              <w:rPr>
                <w:sz w:val="20"/>
                <w:szCs w:val="20"/>
                <w:color w:val="auto"/>
              </w:rPr>
            </w:pPr>
            <w:r>
              <w:rPr>
                <w:rFonts w:ascii="Arial" w:cs="Arial" w:eastAsia="Arial" w:hAnsi="Arial"/>
                <w:sz w:val="13"/>
                <w:szCs w:val="13"/>
                <w:b w:val="1"/>
                <w:bCs w:val="1"/>
                <w:color w:val="431C5B"/>
              </w:rPr>
              <w:t>($)</w:t>
            </w:r>
          </w:p>
        </w:tc>
        <w:tc>
          <w:tcPr>
            <w:tcW w:w="820" w:type="dxa"/>
            <w:vAlign w:val="bottom"/>
            <w:tcBorders>
              <w:bottom w:val="single" w:sz="8" w:color="431C5B"/>
            </w:tcBorders>
          </w:tcPr>
          <w:p>
            <w:pPr>
              <w:jc w:val="right"/>
              <w:ind w:right="10"/>
              <w:spacing w:after="0"/>
              <w:rPr>
                <w:sz w:val="20"/>
                <w:szCs w:val="20"/>
                <w:color w:val="auto"/>
              </w:rPr>
            </w:pPr>
            <w:r>
              <w:rPr>
                <w:rFonts w:ascii="Arial" w:cs="Arial" w:eastAsia="Arial" w:hAnsi="Arial"/>
                <w:sz w:val="13"/>
                <w:szCs w:val="13"/>
                <w:b w:val="1"/>
                <w:bCs w:val="1"/>
                <w:color w:val="431C5B"/>
              </w:rPr>
              <w:t>($)</w:t>
            </w:r>
          </w:p>
        </w:tc>
        <w:tc>
          <w:tcPr>
            <w:tcW w:w="78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w:t>
            </w:r>
          </w:p>
        </w:tc>
        <w:tc>
          <w:tcPr>
            <w:tcW w:w="80" w:type="dxa"/>
            <w:vAlign w:val="bottom"/>
            <w:tcBorders>
              <w:bottom w:val="single" w:sz="8" w:color="431C5B"/>
            </w:tcBorders>
          </w:tcPr>
          <w:p>
            <w:pPr>
              <w:spacing w:after="0"/>
              <w:rPr>
                <w:sz w:val="15"/>
                <w:szCs w:val="15"/>
                <w:color w:val="auto"/>
              </w:rPr>
            </w:pPr>
          </w:p>
        </w:tc>
        <w:tc>
          <w:tcPr>
            <w:tcW w:w="900" w:type="dxa"/>
            <w:vAlign w:val="bottom"/>
            <w:tcBorders>
              <w:bottom w:val="single" w:sz="8" w:color="431C5B"/>
            </w:tcBorders>
          </w:tcPr>
          <w:p>
            <w:pPr>
              <w:jc w:val="center"/>
              <w:ind w:left="391"/>
              <w:spacing w:after="0"/>
              <w:rPr>
                <w:sz w:val="20"/>
                <w:szCs w:val="20"/>
                <w:color w:val="auto"/>
              </w:rPr>
            </w:pPr>
            <w:r>
              <w:rPr>
                <w:rFonts w:ascii="Arial" w:cs="Arial" w:eastAsia="Arial" w:hAnsi="Arial"/>
                <w:sz w:val="13"/>
                <w:szCs w:val="13"/>
                <w:b w:val="1"/>
                <w:bCs w:val="1"/>
                <w:color w:val="431C5B"/>
              </w:rPr>
              <w:t>(#)</w:t>
            </w:r>
          </w:p>
        </w:tc>
        <w:tc>
          <w:tcPr>
            <w:tcW w:w="780" w:type="dxa"/>
            <w:vAlign w:val="bottom"/>
            <w:tcBorders>
              <w:bottom w:val="single" w:sz="8" w:color="431C5B"/>
            </w:tcBorders>
          </w:tcPr>
          <w:p>
            <w:pPr>
              <w:jc w:val="right"/>
              <w:ind w:right="50"/>
              <w:spacing w:after="0"/>
              <w:rPr>
                <w:sz w:val="20"/>
                <w:szCs w:val="20"/>
                <w:color w:val="auto"/>
              </w:rPr>
            </w:pPr>
            <w:r>
              <w:rPr>
                <w:rFonts w:ascii="Arial" w:cs="Arial" w:eastAsia="Arial" w:hAnsi="Arial"/>
                <w:sz w:val="13"/>
                <w:szCs w:val="13"/>
                <w:b w:val="1"/>
                <w:bCs w:val="1"/>
                <w:color w:val="431C5B"/>
              </w:rPr>
              <w:t>(#)</w:t>
            </w:r>
          </w:p>
        </w:tc>
        <w:tc>
          <w:tcPr>
            <w:tcW w:w="74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w:t>
            </w:r>
          </w:p>
        </w:tc>
        <w:tc>
          <w:tcPr>
            <w:tcW w:w="940" w:type="dxa"/>
            <w:vAlign w:val="bottom"/>
            <w:tcBorders>
              <w:bottom w:val="single" w:sz="8" w:color="431C5B"/>
            </w:tcBorders>
          </w:tcPr>
          <w:p>
            <w:pPr>
              <w:jc w:val="right"/>
              <w:ind w:right="31"/>
              <w:spacing w:after="0" w:line="180" w:lineRule="exact"/>
              <w:rPr>
                <w:sz w:val="20"/>
                <w:szCs w:val="20"/>
                <w:color w:val="auto"/>
              </w:rPr>
            </w:pPr>
            <w:r>
              <w:rPr>
                <w:rFonts w:ascii="Arial" w:cs="Arial" w:eastAsia="Arial" w:hAnsi="Arial"/>
                <w:sz w:val="13"/>
                <w:szCs w:val="13"/>
                <w:b w:val="1"/>
                <w:bCs w:val="1"/>
                <w:color w:val="431C5B"/>
              </w:rPr>
              <w:t>(#)</w:t>
            </w:r>
            <w:r>
              <w:rPr>
                <w:rFonts w:ascii="Arial" w:cs="Arial" w:eastAsia="Arial" w:hAnsi="Arial"/>
                <w:sz w:val="16"/>
                <w:szCs w:val="16"/>
                <w:b w:val="1"/>
                <w:bCs w:val="1"/>
                <w:color w:val="431C5B"/>
                <w:vertAlign w:val="superscript"/>
              </w:rPr>
              <w:t>(4)</w:t>
            </w:r>
          </w:p>
        </w:tc>
        <w:tc>
          <w:tcPr>
            <w:tcW w:w="860" w:type="dxa"/>
            <w:vAlign w:val="bottom"/>
            <w:tcBorders>
              <w:bottom w:val="single" w:sz="8" w:color="431C5B"/>
            </w:tcBorders>
          </w:tcPr>
          <w:p>
            <w:pPr>
              <w:jc w:val="right"/>
              <w:spacing w:after="0" w:line="180" w:lineRule="exact"/>
              <w:rPr>
                <w:sz w:val="20"/>
                <w:szCs w:val="20"/>
                <w:color w:val="auto"/>
              </w:rPr>
            </w:pPr>
            <w:r>
              <w:rPr>
                <w:rFonts w:ascii="Arial" w:cs="Arial" w:eastAsia="Arial" w:hAnsi="Arial"/>
                <w:sz w:val="13"/>
                <w:szCs w:val="13"/>
                <w:b w:val="1"/>
                <w:bCs w:val="1"/>
                <w:color w:val="431C5B"/>
              </w:rPr>
              <w:t>($)</w:t>
            </w:r>
            <w:r>
              <w:rPr>
                <w:rFonts w:ascii="Arial" w:cs="Arial" w:eastAsia="Arial" w:hAnsi="Arial"/>
                <w:sz w:val="16"/>
                <w:szCs w:val="16"/>
                <w:b w:val="1"/>
                <w:bCs w:val="1"/>
                <w:color w:val="431C5B"/>
                <w:vertAlign w:val="superscript"/>
              </w:rPr>
              <w:t>(5)</w:t>
            </w:r>
          </w:p>
        </w:tc>
        <w:tc>
          <w:tcPr>
            <w:tcW w:w="0" w:type="dxa"/>
            <w:vAlign w:val="bottom"/>
          </w:tcPr>
          <w:p>
            <w:pPr>
              <w:spacing w:after="0"/>
              <w:rPr>
                <w:sz w:val="1"/>
                <w:szCs w:val="1"/>
                <w:color w:val="auto"/>
              </w:rPr>
            </w:pPr>
          </w:p>
        </w:tc>
      </w:tr>
      <w:tr>
        <w:trPr>
          <w:trHeight w:val="201"/>
        </w:trPr>
        <w:tc>
          <w:tcPr>
            <w:tcW w:w="92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b w:val="1"/>
                <w:bCs w:val="1"/>
                <w:color w:val="431C5B"/>
              </w:rPr>
              <w:t>Stephanie</w:t>
            </w:r>
          </w:p>
        </w:tc>
        <w:tc>
          <w:tcPr>
            <w:tcW w:w="88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02/28/2025</w:t>
            </w:r>
          </w:p>
        </w:tc>
        <w:tc>
          <w:tcPr>
            <w:tcW w:w="220" w:type="dxa"/>
            <w:vAlign w:val="bottom"/>
            <w:tcBorders>
              <w:bottom w:val="single" w:sz="8" w:color="EDFAEC"/>
            </w:tcBorders>
            <w:shd w:val="clear" w:color="auto" w:fill="EDFAEC"/>
          </w:tcPr>
          <w:p>
            <w:pPr>
              <w:spacing w:after="0"/>
              <w:rPr>
                <w:sz w:val="17"/>
                <w:szCs w:val="17"/>
                <w:color w:val="auto"/>
              </w:rPr>
            </w:pPr>
          </w:p>
        </w:tc>
        <w:tc>
          <w:tcPr>
            <w:tcW w:w="840" w:type="dxa"/>
            <w:vAlign w:val="bottom"/>
            <w:tcBorders>
              <w:bottom w:val="single" w:sz="8" w:color="EDFAEC"/>
            </w:tcBorders>
            <w:shd w:val="clear" w:color="auto" w:fill="EDFAEC"/>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DFAEC"/>
            </w:tcBorders>
            <w:shd w:val="clear" w:color="auto" w:fill="EDFAEC"/>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DFAEC"/>
            </w:tcBorders>
            <w:gridSpan w:val="2"/>
            <w:shd w:val="clear" w:color="auto" w:fill="EDFAEC"/>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DFAEC"/>
            </w:tcBorders>
            <w:shd w:val="clear" w:color="auto" w:fill="EDFAEC"/>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DFAEC"/>
            </w:tcBorders>
            <w:shd w:val="clear" w:color="auto" w:fill="EDFAEC"/>
          </w:tcPr>
          <w:p>
            <w:pPr>
              <w:jc w:val="right"/>
              <w:ind w:right="50"/>
              <w:spacing w:after="0"/>
              <w:rPr>
                <w:sz w:val="20"/>
                <w:szCs w:val="20"/>
                <w:color w:val="auto"/>
              </w:rPr>
            </w:pPr>
            <w:r>
              <w:rPr>
                <w:rFonts w:ascii="Arial" w:cs="Arial" w:eastAsia="Arial" w:hAnsi="Arial"/>
                <w:sz w:val="14"/>
                <w:szCs w:val="14"/>
                <w:color w:val="auto"/>
              </w:rPr>
              <w:t>173,646</w:t>
            </w:r>
          </w:p>
        </w:tc>
        <w:tc>
          <w:tcPr>
            <w:tcW w:w="74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434,115</w:t>
            </w:r>
          </w:p>
        </w:tc>
        <w:tc>
          <w:tcPr>
            <w:tcW w:w="940" w:type="dxa"/>
            <w:vAlign w:val="bottom"/>
            <w:tcBorders>
              <w:bottom w:val="single" w:sz="8" w:color="EDFAEC"/>
            </w:tcBorders>
            <w:shd w:val="clear" w:color="auto" w:fill="EDFAEC"/>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12,266,353</w:t>
            </w:r>
          </w:p>
        </w:tc>
        <w:tc>
          <w:tcPr>
            <w:tcW w:w="0" w:type="dxa"/>
            <w:vAlign w:val="bottom"/>
          </w:tcPr>
          <w:p>
            <w:pPr>
              <w:spacing w:after="0"/>
              <w:rPr>
                <w:sz w:val="1"/>
                <w:szCs w:val="1"/>
                <w:color w:val="auto"/>
              </w:rPr>
            </w:pPr>
          </w:p>
        </w:tc>
      </w:tr>
      <w:tr>
        <w:trPr>
          <w:trHeight w:val="192"/>
        </w:trPr>
        <w:tc>
          <w:tcPr>
            <w:tcW w:w="920" w:type="dxa"/>
            <w:vAlign w:val="bottom"/>
            <w:tcBorders>
              <w:top w:val="single" w:sz="8" w:color="EDFAEC"/>
              <w:bottom w:val="single" w:sz="8" w:color="EDFAEC"/>
            </w:tcBorders>
            <w:shd w:val="clear" w:color="auto" w:fill="EDFAEC"/>
          </w:tcPr>
          <w:p>
            <w:pPr>
              <w:ind w:left="80"/>
              <w:spacing w:after="0" w:line="153" w:lineRule="exact"/>
              <w:rPr>
                <w:sz w:val="20"/>
                <w:szCs w:val="20"/>
                <w:color w:val="auto"/>
              </w:rPr>
            </w:pPr>
            <w:r>
              <w:rPr>
                <w:rFonts w:ascii="Arial" w:cs="Arial" w:eastAsia="Arial" w:hAnsi="Arial"/>
                <w:sz w:val="14"/>
                <w:szCs w:val="14"/>
                <w:b w:val="1"/>
                <w:bCs w:val="1"/>
                <w:color w:val="431C5B"/>
              </w:rPr>
              <w:t>L. Ferris</w:t>
            </w:r>
          </w:p>
        </w:tc>
        <w:tc>
          <w:tcPr>
            <w:tcW w:w="880" w:type="dxa"/>
            <w:vAlign w:val="bottom"/>
            <w:tcBorders>
              <w:top w:val="single" w:sz="8" w:color="E6E6E6"/>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02/28/2025</w:t>
            </w:r>
          </w:p>
        </w:tc>
        <w:tc>
          <w:tcPr>
            <w:tcW w:w="220" w:type="dxa"/>
            <w:vAlign w:val="bottom"/>
            <w:tcBorders>
              <w:top w:val="single" w:sz="8" w:color="E6E6E6"/>
              <w:bottom w:val="single" w:sz="8" w:color="E6E6E6"/>
            </w:tcBorders>
            <w:shd w:val="clear" w:color="auto" w:fill="EDFAEC"/>
          </w:tcPr>
          <w:p>
            <w:pPr>
              <w:spacing w:after="0"/>
              <w:rPr>
                <w:sz w:val="16"/>
                <w:szCs w:val="16"/>
                <w:color w:val="auto"/>
              </w:rPr>
            </w:pPr>
          </w:p>
        </w:tc>
        <w:tc>
          <w:tcPr>
            <w:tcW w:w="840" w:type="dxa"/>
            <w:vAlign w:val="bottom"/>
            <w:tcBorders>
              <w:top w:val="single" w:sz="8" w:color="E6E6E6"/>
              <w:bottom w:val="single" w:sz="8" w:color="E6E6E6"/>
            </w:tcBorders>
            <w:shd w:val="clear" w:color="auto" w:fill="EDFAEC"/>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E6E6E6"/>
              <w:bottom w:val="single" w:sz="8" w:color="E6E6E6"/>
            </w:tcBorders>
            <w:shd w:val="clear" w:color="auto" w:fill="EDFAEC"/>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E6E6E6"/>
              <w:bottom w:val="single" w:sz="8" w:color="E6E6E6"/>
            </w:tcBorders>
            <w:gridSpan w:val="2"/>
            <w:shd w:val="clear" w:color="auto" w:fill="EDFAEC"/>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E6E6E6"/>
              <w:bottom w:val="single" w:sz="8" w:color="E6E6E6"/>
            </w:tcBorders>
            <w:shd w:val="clear" w:color="auto" w:fill="EDFAEC"/>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E6E6E6"/>
              <w:bottom w:val="single" w:sz="8" w:color="E6E6E6"/>
            </w:tcBorders>
            <w:shd w:val="clear" w:color="auto" w:fill="EDFAEC"/>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E6E6E6"/>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E6E6E6"/>
              <w:bottom w:val="single" w:sz="8" w:color="E6E6E6"/>
            </w:tcBorders>
            <w:shd w:val="clear" w:color="auto" w:fill="EDFAEC"/>
          </w:tcPr>
          <w:p>
            <w:pPr>
              <w:jc w:val="right"/>
              <w:ind w:right="31"/>
              <w:spacing w:after="0"/>
              <w:rPr>
                <w:sz w:val="20"/>
                <w:szCs w:val="20"/>
                <w:color w:val="auto"/>
              </w:rPr>
            </w:pPr>
            <w:r>
              <w:rPr>
                <w:rFonts w:ascii="Arial" w:cs="Arial" w:eastAsia="Arial" w:hAnsi="Arial"/>
                <w:sz w:val="14"/>
                <w:szCs w:val="14"/>
                <w:color w:val="auto"/>
              </w:rPr>
              <w:t>93,502</w:t>
            </w:r>
          </w:p>
        </w:tc>
        <w:tc>
          <w:tcPr>
            <w:tcW w:w="860" w:type="dxa"/>
            <w:vAlign w:val="bottom"/>
            <w:tcBorders>
              <w:top w:val="single" w:sz="8" w:color="E6E6E6"/>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6,475,014</w:t>
            </w:r>
          </w:p>
        </w:tc>
        <w:tc>
          <w:tcPr>
            <w:tcW w:w="0" w:type="dxa"/>
            <w:vAlign w:val="bottom"/>
          </w:tcPr>
          <w:p>
            <w:pPr>
              <w:spacing w:after="0"/>
              <w:rPr>
                <w:sz w:val="1"/>
                <w:szCs w:val="1"/>
                <w:color w:val="auto"/>
              </w:rPr>
            </w:pPr>
          </w:p>
        </w:tc>
      </w:tr>
      <w:tr>
        <w:trPr>
          <w:trHeight w:val="177"/>
        </w:trPr>
        <w:tc>
          <w:tcPr>
            <w:tcW w:w="920" w:type="dxa"/>
            <w:vAlign w:val="bottom"/>
            <w:shd w:val="clear" w:color="auto" w:fill="EDFAEC"/>
          </w:tcPr>
          <w:p>
            <w:pPr>
              <w:spacing w:after="0"/>
              <w:rPr>
                <w:sz w:val="15"/>
                <w:szCs w:val="15"/>
                <w:color w:val="auto"/>
              </w:rPr>
            </w:pPr>
          </w:p>
        </w:tc>
        <w:tc>
          <w:tcPr>
            <w:tcW w:w="880" w:type="dxa"/>
            <w:vAlign w:val="bottom"/>
            <w:shd w:val="clear" w:color="auto" w:fill="EDFAEC"/>
          </w:tcPr>
          <w:p>
            <w:pPr>
              <w:jc w:val="right"/>
              <w:spacing w:after="0"/>
              <w:rPr>
                <w:sz w:val="20"/>
                <w:szCs w:val="20"/>
                <w:color w:val="auto"/>
              </w:rPr>
            </w:pPr>
            <w:r>
              <w:rPr>
                <w:rFonts w:ascii="Arial" w:cs="Arial" w:eastAsia="Arial" w:hAnsi="Arial"/>
                <w:sz w:val="14"/>
                <w:szCs w:val="14"/>
                <w:color w:val="auto"/>
              </w:rPr>
              <w:t>Annual</w:t>
            </w:r>
          </w:p>
        </w:tc>
        <w:tc>
          <w:tcPr>
            <w:tcW w:w="220" w:type="dxa"/>
            <w:vAlign w:val="bottom"/>
            <w:shd w:val="clear" w:color="auto" w:fill="EDFAEC"/>
          </w:tcPr>
          <w:p>
            <w:pPr>
              <w:spacing w:after="0"/>
              <w:rPr>
                <w:sz w:val="15"/>
                <w:szCs w:val="15"/>
                <w:color w:val="auto"/>
              </w:rPr>
            </w:pPr>
          </w:p>
        </w:tc>
        <w:tc>
          <w:tcPr>
            <w:tcW w:w="840" w:type="dxa"/>
            <w:vAlign w:val="bottom"/>
            <w:shd w:val="clear" w:color="auto" w:fill="EDFAEC"/>
          </w:tcPr>
          <w:p>
            <w:pPr>
              <w:jc w:val="right"/>
              <w:ind w:right="11"/>
              <w:spacing w:after="0"/>
              <w:rPr>
                <w:sz w:val="20"/>
                <w:szCs w:val="20"/>
                <w:color w:val="auto"/>
              </w:rPr>
            </w:pPr>
            <w:r>
              <w:rPr>
                <w:rFonts w:ascii="Arial" w:cs="Arial" w:eastAsia="Arial" w:hAnsi="Arial"/>
                <w:sz w:val="14"/>
                <w:szCs w:val="14"/>
                <w:color w:val="auto"/>
              </w:rPr>
              <w:t>140,625</w:t>
            </w:r>
          </w:p>
        </w:tc>
        <w:tc>
          <w:tcPr>
            <w:tcW w:w="820" w:type="dxa"/>
            <w:vAlign w:val="bottom"/>
            <w:shd w:val="clear" w:color="auto" w:fill="EDFAEC"/>
          </w:tcPr>
          <w:p>
            <w:pPr>
              <w:jc w:val="right"/>
              <w:ind w:right="30"/>
              <w:spacing w:after="0"/>
              <w:rPr>
                <w:sz w:val="20"/>
                <w:szCs w:val="20"/>
                <w:color w:val="auto"/>
              </w:rPr>
            </w:pPr>
            <w:r>
              <w:rPr>
                <w:rFonts w:ascii="Arial" w:cs="Arial" w:eastAsia="Arial" w:hAnsi="Arial"/>
                <w:sz w:val="14"/>
                <w:szCs w:val="14"/>
                <w:color w:val="auto"/>
              </w:rPr>
              <w:t>2,812,500</w:t>
            </w:r>
          </w:p>
        </w:tc>
        <w:tc>
          <w:tcPr>
            <w:tcW w:w="780" w:type="dxa"/>
            <w:vAlign w:val="bottom"/>
            <w:shd w:val="clear" w:color="auto" w:fill="EDFAEC"/>
          </w:tcPr>
          <w:p>
            <w:pPr>
              <w:jc w:val="right"/>
              <w:spacing w:after="0"/>
              <w:rPr>
                <w:sz w:val="20"/>
                <w:szCs w:val="20"/>
                <w:color w:val="auto"/>
              </w:rPr>
            </w:pPr>
            <w:r>
              <w:rPr>
                <w:rFonts w:ascii="Arial" w:cs="Arial" w:eastAsia="Arial" w:hAnsi="Arial"/>
                <w:sz w:val="14"/>
                <w:szCs w:val="14"/>
                <w:color w:val="auto"/>
              </w:rPr>
              <w:t>5,625,000</w:t>
            </w:r>
          </w:p>
        </w:tc>
        <w:tc>
          <w:tcPr>
            <w:tcW w:w="80" w:type="dxa"/>
            <w:vAlign w:val="bottom"/>
            <w:shd w:val="clear" w:color="auto" w:fill="EDFAEC"/>
          </w:tcPr>
          <w:p>
            <w:pPr>
              <w:spacing w:after="0"/>
              <w:rPr>
                <w:sz w:val="15"/>
                <w:szCs w:val="15"/>
                <w:color w:val="auto"/>
              </w:rPr>
            </w:pPr>
          </w:p>
        </w:tc>
        <w:tc>
          <w:tcPr>
            <w:tcW w:w="900" w:type="dxa"/>
            <w:vAlign w:val="bottom"/>
            <w:shd w:val="clear" w:color="auto" w:fill="EDFAEC"/>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shd w:val="clear" w:color="auto" w:fill="EDFAEC"/>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DFAEC"/>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920" w:type="dxa"/>
            <w:vAlign w:val="bottom"/>
            <w:tcBorders>
              <w:bottom w:val="single" w:sz="8" w:color="E6E6E6"/>
            </w:tcBorders>
            <w:shd w:val="clear" w:color="auto" w:fill="EDFAEC"/>
          </w:tcPr>
          <w:p>
            <w:pPr>
              <w:spacing w:after="0"/>
              <w:rPr>
                <w:sz w:val="16"/>
                <w:szCs w:val="16"/>
                <w:color w:val="auto"/>
              </w:rPr>
            </w:pPr>
          </w:p>
        </w:tc>
        <w:tc>
          <w:tcPr>
            <w:tcW w:w="8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Incentive</w:t>
            </w:r>
          </w:p>
        </w:tc>
        <w:tc>
          <w:tcPr>
            <w:tcW w:w="220" w:type="dxa"/>
            <w:vAlign w:val="bottom"/>
            <w:tcBorders>
              <w:bottom w:val="single" w:sz="8" w:color="E6E6E6"/>
            </w:tcBorders>
            <w:shd w:val="clear" w:color="auto" w:fill="EDFAEC"/>
          </w:tcPr>
          <w:p>
            <w:pPr>
              <w:spacing w:after="0"/>
              <w:rPr>
                <w:sz w:val="16"/>
                <w:szCs w:val="16"/>
                <w:color w:val="auto"/>
              </w:rPr>
            </w:pPr>
          </w:p>
        </w:tc>
        <w:tc>
          <w:tcPr>
            <w:tcW w:w="840" w:type="dxa"/>
            <w:vAlign w:val="bottom"/>
            <w:tcBorders>
              <w:bottom w:val="single" w:sz="8" w:color="E6E6E6"/>
            </w:tcBorders>
            <w:shd w:val="clear" w:color="auto" w:fill="EDFAEC"/>
          </w:tcPr>
          <w:p>
            <w:pPr>
              <w:spacing w:after="0"/>
              <w:rPr>
                <w:sz w:val="16"/>
                <w:szCs w:val="16"/>
                <w:color w:val="auto"/>
              </w:rPr>
            </w:pPr>
          </w:p>
        </w:tc>
        <w:tc>
          <w:tcPr>
            <w:tcW w:w="820" w:type="dxa"/>
            <w:vAlign w:val="bottom"/>
            <w:tcBorders>
              <w:bottom w:val="single" w:sz="8" w:color="E6E6E6"/>
            </w:tcBorders>
            <w:shd w:val="clear" w:color="auto" w:fill="EDFAEC"/>
          </w:tcPr>
          <w:p>
            <w:pPr>
              <w:spacing w:after="0"/>
              <w:rPr>
                <w:sz w:val="16"/>
                <w:szCs w:val="16"/>
                <w:color w:val="auto"/>
              </w:rPr>
            </w:pPr>
          </w:p>
        </w:tc>
        <w:tc>
          <w:tcPr>
            <w:tcW w:w="780" w:type="dxa"/>
            <w:vAlign w:val="bottom"/>
            <w:tcBorders>
              <w:bottom w:val="single" w:sz="8" w:color="E6E6E6"/>
            </w:tcBorders>
            <w:shd w:val="clear" w:color="auto" w:fill="EDFAEC"/>
          </w:tcPr>
          <w:p>
            <w:pPr>
              <w:spacing w:after="0"/>
              <w:rPr>
                <w:sz w:val="16"/>
                <w:szCs w:val="16"/>
                <w:color w:val="auto"/>
              </w:rPr>
            </w:pPr>
          </w:p>
        </w:tc>
        <w:tc>
          <w:tcPr>
            <w:tcW w:w="80" w:type="dxa"/>
            <w:vAlign w:val="bottom"/>
            <w:tcBorders>
              <w:bottom w:val="single" w:sz="8" w:color="E6E6E6"/>
            </w:tcBorders>
            <w:shd w:val="clear" w:color="auto" w:fill="EDFAEC"/>
          </w:tcPr>
          <w:p>
            <w:pPr>
              <w:spacing w:after="0"/>
              <w:rPr>
                <w:sz w:val="16"/>
                <w:szCs w:val="16"/>
                <w:color w:val="auto"/>
              </w:rPr>
            </w:pPr>
          </w:p>
        </w:tc>
        <w:tc>
          <w:tcPr>
            <w:tcW w:w="900" w:type="dxa"/>
            <w:vAlign w:val="bottom"/>
            <w:tcBorders>
              <w:bottom w:val="single" w:sz="8" w:color="E6E6E6"/>
            </w:tcBorders>
            <w:shd w:val="clear" w:color="auto" w:fill="EDFAEC"/>
          </w:tcPr>
          <w:p>
            <w:pPr>
              <w:spacing w:after="0"/>
              <w:rPr>
                <w:sz w:val="16"/>
                <w:szCs w:val="16"/>
                <w:color w:val="auto"/>
              </w:rPr>
            </w:pPr>
          </w:p>
        </w:tc>
        <w:tc>
          <w:tcPr>
            <w:tcW w:w="780" w:type="dxa"/>
            <w:vAlign w:val="bottom"/>
            <w:tcBorders>
              <w:bottom w:val="single" w:sz="8" w:color="E6E6E6"/>
            </w:tcBorders>
            <w:shd w:val="clear" w:color="auto" w:fill="EDFAEC"/>
          </w:tcPr>
          <w:p>
            <w:pPr>
              <w:spacing w:after="0"/>
              <w:rPr>
                <w:sz w:val="16"/>
                <w:szCs w:val="16"/>
                <w:color w:val="auto"/>
              </w:rPr>
            </w:pPr>
          </w:p>
        </w:tc>
        <w:tc>
          <w:tcPr>
            <w:tcW w:w="740" w:type="dxa"/>
            <w:vAlign w:val="bottom"/>
            <w:tcBorders>
              <w:bottom w:val="single" w:sz="8" w:color="E6E6E6"/>
            </w:tcBorders>
            <w:shd w:val="clear" w:color="auto" w:fill="EDFAEC"/>
          </w:tcPr>
          <w:p>
            <w:pPr>
              <w:spacing w:after="0"/>
              <w:rPr>
                <w:sz w:val="16"/>
                <w:szCs w:val="16"/>
                <w:color w:val="auto"/>
              </w:rPr>
            </w:pPr>
          </w:p>
        </w:tc>
        <w:tc>
          <w:tcPr>
            <w:tcW w:w="940" w:type="dxa"/>
            <w:vAlign w:val="bottom"/>
            <w:tcBorders>
              <w:bottom w:val="single" w:sz="8" w:color="E6E6E6"/>
            </w:tcBorders>
            <w:shd w:val="clear" w:color="auto" w:fill="EDFAEC"/>
          </w:tcPr>
          <w:p>
            <w:pPr>
              <w:spacing w:after="0"/>
              <w:rPr>
                <w:sz w:val="16"/>
                <w:szCs w:val="16"/>
                <w:color w:val="auto"/>
              </w:rPr>
            </w:pPr>
          </w:p>
        </w:tc>
        <w:tc>
          <w:tcPr>
            <w:tcW w:w="860" w:type="dxa"/>
            <w:vAlign w:val="bottom"/>
            <w:tcBorders>
              <w:bottom w:val="single" w:sz="8" w:color="E6E6E6"/>
            </w:tcBorders>
            <w:shd w:val="clear" w:color="auto" w:fill="EDFAE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20" w:type="dxa"/>
            <w:vAlign w:val="bottom"/>
          </w:tcPr>
          <w:p>
            <w:pPr>
              <w:ind w:left="80"/>
              <w:spacing w:after="0"/>
              <w:rPr>
                <w:sz w:val="20"/>
                <w:szCs w:val="20"/>
                <w:color w:val="auto"/>
              </w:rPr>
            </w:pPr>
            <w:r>
              <w:rPr>
                <w:rFonts w:ascii="Arial" w:cs="Arial" w:eastAsia="Arial" w:hAnsi="Arial"/>
                <w:sz w:val="14"/>
                <w:szCs w:val="14"/>
                <w:b w:val="1"/>
                <w:bCs w:val="1"/>
                <w:color w:val="431C5B"/>
              </w:rPr>
              <w:t>James</w:t>
            </w:r>
          </w:p>
        </w:tc>
        <w:tc>
          <w:tcPr>
            <w:tcW w:w="880" w:type="dxa"/>
            <w:vAlign w:val="bottom"/>
          </w:tcPr>
          <w:p>
            <w:pPr>
              <w:jc w:val="right"/>
              <w:spacing w:after="0"/>
              <w:rPr>
                <w:sz w:val="20"/>
                <w:szCs w:val="20"/>
                <w:color w:val="auto"/>
              </w:rPr>
            </w:pPr>
            <w:r>
              <w:rPr>
                <w:rFonts w:ascii="Arial" w:cs="Arial" w:eastAsia="Arial" w:hAnsi="Arial"/>
                <w:sz w:val="14"/>
                <w:szCs w:val="14"/>
                <w:color w:val="auto"/>
              </w:rPr>
              <w:t>02/28/2025</w:t>
            </w:r>
          </w:p>
        </w:tc>
        <w:tc>
          <w:tcPr>
            <w:tcW w:w="22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56,318</w:t>
            </w:r>
          </w:p>
        </w:tc>
        <w:tc>
          <w:tcPr>
            <w:tcW w:w="740" w:type="dxa"/>
            <w:vAlign w:val="bottom"/>
          </w:tcPr>
          <w:p>
            <w:pPr>
              <w:jc w:val="right"/>
              <w:spacing w:after="0"/>
              <w:rPr>
                <w:sz w:val="20"/>
                <w:szCs w:val="20"/>
                <w:color w:val="auto"/>
              </w:rPr>
            </w:pPr>
            <w:r>
              <w:rPr>
                <w:rFonts w:ascii="Arial" w:cs="Arial" w:eastAsia="Arial" w:hAnsi="Arial"/>
                <w:sz w:val="14"/>
                <w:szCs w:val="14"/>
                <w:color w:val="auto"/>
              </w:rPr>
              <w:t>140,795</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3,978,304</w:t>
            </w:r>
          </w:p>
        </w:tc>
        <w:tc>
          <w:tcPr>
            <w:tcW w:w="0" w:type="dxa"/>
            <w:vAlign w:val="bottom"/>
          </w:tcPr>
          <w:p>
            <w:pPr>
              <w:spacing w:after="0"/>
              <w:rPr>
                <w:sz w:val="1"/>
                <w:szCs w:val="1"/>
                <w:color w:val="auto"/>
              </w:rPr>
            </w:pPr>
          </w:p>
        </w:tc>
      </w:tr>
      <w:tr>
        <w:trPr>
          <w:trHeight w:val="23"/>
        </w:trPr>
        <w:tc>
          <w:tcPr>
            <w:tcW w:w="920" w:type="dxa"/>
            <w:vAlign w:val="bottom"/>
            <w:vMerge w:val="restart"/>
          </w:tcPr>
          <w:p>
            <w:pPr>
              <w:ind w:left="80"/>
              <w:spacing w:after="0"/>
              <w:rPr>
                <w:sz w:val="20"/>
                <w:szCs w:val="20"/>
                <w:color w:val="auto"/>
              </w:rPr>
            </w:pPr>
            <w:r>
              <w:rPr>
                <w:rFonts w:ascii="Arial" w:cs="Arial" w:eastAsia="Arial" w:hAnsi="Arial"/>
                <w:sz w:val="14"/>
                <w:szCs w:val="14"/>
                <w:b w:val="1"/>
                <w:bCs w:val="1"/>
                <w:color w:val="431C5B"/>
              </w:rPr>
              <w:t>Kehoe</w:t>
            </w:r>
          </w:p>
        </w:tc>
        <w:tc>
          <w:tcPr>
            <w:tcW w:w="880" w:type="dxa"/>
            <w:vAlign w:val="bottom"/>
            <w:tcBorders>
              <w:bottom w:val="single" w:sz="8" w:color="E6E6E6"/>
            </w:tcBorders>
          </w:tcPr>
          <w:p>
            <w:pPr>
              <w:spacing w:after="0" w:line="20" w:lineRule="exact"/>
              <w:rPr>
                <w:sz w:val="1"/>
                <w:szCs w:val="1"/>
                <w:color w:val="auto"/>
              </w:rPr>
            </w:pPr>
          </w:p>
        </w:tc>
        <w:tc>
          <w:tcPr>
            <w:tcW w:w="220" w:type="dxa"/>
            <w:vAlign w:val="bottom"/>
            <w:tcBorders>
              <w:bottom w:val="single" w:sz="8" w:color="E6E6E6"/>
            </w:tcBorders>
          </w:tcPr>
          <w:p>
            <w:pPr>
              <w:spacing w:after="0" w:line="20" w:lineRule="exact"/>
              <w:rPr>
                <w:sz w:val="1"/>
                <w:szCs w:val="1"/>
                <w:color w:val="auto"/>
              </w:rPr>
            </w:pPr>
          </w:p>
        </w:tc>
        <w:tc>
          <w:tcPr>
            <w:tcW w:w="840" w:type="dxa"/>
            <w:vAlign w:val="bottom"/>
            <w:tcBorders>
              <w:bottom w:val="single" w:sz="8" w:color="E6E6E6"/>
            </w:tcBorders>
          </w:tcPr>
          <w:p>
            <w:pPr>
              <w:spacing w:after="0" w:line="20" w:lineRule="exact"/>
              <w:rPr>
                <w:sz w:val="1"/>
                <w:szCs w:val="1"/>
                <w:color w:val="auto"/>
              </w:rPr>
            </w:pPr>
          </w:p>
        </w:tc>
        <w:tc>
          <w:tcPr>
            <w:tcW w:w="820" w:type="dxa"/>
            <w:vAlign w:val="bottom"/>
            <w:tcBorders>
              <w:bottom w:val="single" w:sz="8" w:color="E6E6E6"/>
            </w:tcBorders>
          </w:tcPr>
          <w:p>
            <w:pPr>
              <w:spacing w:after="0" w:line="20" w:lineRule="exact"/>
              <w:rPr>
                <w:sz w:val="1"/>
                <w:szCs w:val="1"/>
                <w:color w:val="auto"/>
              </w:rPr>
            </w:pPr>
          </w:p>
        </w:tc>
        <w:tc>
          <w:tcPr>
            <w:tcW w:w="780" w:type="dxa"/>
            <w:vAlign w:val="bottom"/>
            <w:tcBorders>
              <w:bottom w:val="single" w:sz="8" w:color="E6E6E6"/>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900" w:type="dxa"/>
            <w:vAlign w:val="bottom"/>
            <w:tcBorders>
              <w:bottom w:val="single" w:sz="8" w:color="E6E6E6"/>
            </w:tcBorders>
          </w:tcPr>
          <w:p>
            <w:pPr>
              <w:spacing w:after="0" w:line="20" w:lineRule="exact"/>
              <w:rPr>
                <w:sz w:val="1"/>
                <w:szCs w:val="1"/>
                <w:color w:val="auto"/>
              </w:rPr>
            </w:pPr>
          </w:p>
        </w:tc>
        <w:tc>
          <w:tcPr>
            <w:tcW w:w="780" w:type="dxa"/>
            <w:vAlign w:val="bottom"/>
            <w:tcBorders>
              <w:bottom w:val="single" w:sz="8" w:color="E6E6E6"/>
            </w:tcBorders>
          </w:tcPr>
          <w:p>
            <w:pPr>
              <w:spacing w:after="0" w:line="20" w:lineRule="exact"/>
              <w:rPr>
                <w:sz w:val="1"/>
                <w:szCs w:val="1"/>
                <w:color w:val="auto"/>
              </w:rPr>
            </w:pPr>
          </w:p>
        </w:tc>
        <w:tc>
          <w:tcPr>
            <w:tcW w:w="740" w:type="dxa"/>
            <w:vAlign w:val="bottom"/>
            <w:tcBorders>
              <w:bottom w:val="single" w:sz="8" w:color="E6E6E6"/>
            </w:tcBorders>
          </w:tcPr>
          <w:p>
            <w:pPr>
              <w:spacing w:after="0" w:line="20" w:lineRule="exact"/>
              <w:rPr>
                <w:sz w:val="1"/>
                <w:szCs w:val="1"/>
                <w:color w:val="auto"/>
              </w:rPr>
            </w:pPr>
          </w:p>
        </w:tc>
        <w:tc>
          <w:tcPr>
            <w:tcW w:w="940" w:type="dxa"/>
            <w:vAlign w:val="bottom"/>
            <w:tcBorders>
              <w:bottom w:val="single" w:sz="8" w:color="E6E6E6"/>
            </w:tcBorders>
          </w:tcPr>
          <w:p>
            <w:pPr>
              <w:spacing w:after="0" w:line="20" w:lineRule="exact"/>
              <w:rPr>
                <w:sz w:val="1"/>
                <w:szCs w:val="1"/>
                <w:color w:val="auto"/>
              </w:rPr>
            </w:pPr>
          </w:p>
        </w:tc>
        <w:tc>
          <w:tcPr>
            <w:tcW w:w="860" w:type="dxa"/>
            <w:vAlign w:val="bottom"/>
            <w:tcBorders>
              <w:bottom w:val="single" w:sz="8" w:color="E6E6E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920" w:type="dxa"/>
            <w:vAlign w:val="bottom"/>
            <w:vMerge w:val="continue"/>
          </w:tcPr>
          <w:p>
            <w:pPr>
              <w:spacing w:after="0"/>
              <w:rPr>
                <w:sz w:val="16"/>
                <w:szCs w:val="16"/>
                <w:color w:val="auto"/>
              </w:rPr>
            </w:pPr>
          </w:p>
        </w:tc>
        <w:tc>
          <w:tcPr>
            <w:tcW w:w="880" w:type="dxa"/>
            <w:vAlign w:val="bottom"/>
            <w:tcBorders>
              <w:bottom w:val="single" w:sz="8" w:color="E6E6E6"/>
            </w:tcBorders>
          </w:tcPr>
          <w:p>
            <w:pPr>
              <w:jc w:val="right"/>
              <w:spacing w:after="0"/>
              <w:rPr>
                <w:sz w:val="20"/>
                <w:szCs w:val="20"/>
                <w:color w:val="auto"/>
              </w:rPr>
            </w:pPr>
            <w:r>
              <w:rPr>
                <w:rFonts w:ascii="Arial" w:cs="Arial" w:eastAsia="Arial" w:hAnsi="Arial"/>
                <w:sz w:val="14"/>
                <w:szCs w:val="14"/>
                <w:color w:val="auto"/>
              </w:rPr>
              <w:t>02/28/2025</w:t>
            </w:r>
          </w:p>
        </w:tc>
        <w:tc>
          <w:tcPr>
            <w:tcW w:w="22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6E6E6"/>
            </w:tcBorders>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6E6E6"/>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6E6E6"/>
            </w:tcBorders>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6E6E6"/>
            </w:tcBorders>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6E6E6"/>
            </w:tcBorders>
          </w:tcPr>
          <w:p>
            <w:pPr>
              <w:jc w:val="right"/>
              <w:ind w:right="31"/>
              <w:spacing w:after="0"/>
              <w:rPr>
                <w:sz w:val="20"/>
                <w:szCs w:val="20"/>
                <w:color w:val="auto"/>
              </w:rPr>
            </w:pPr>
            <w:r>
              <w:rPr>
                <w:rFonts w:ascii="Arial" w:cs="Arial" w:eastAsia="Arial" w:hAnsi="Arial"/>
                <w:sz w:val="14"/>
                <w:szCs w:val="14"/>
                <w:color w:val="auto"/>
              </w:rPr>
              <w:t>30,325</w:t>
            </w:r>
          </w:p>
        </w:tc>
        <w:tc>
          <w:tcPr>
            <w:tcW w:w="860" w:type="dxa"/>
            <w:vAlign w:val="bottom"/>
            <w:tcBorders>
              <w:bottom w:val="single" w:sz="8" w:color="E6E6E6"/>
            </w:tcBorders>
          </w:tcPr>
          <w:p>
            <w:pPr>
              <w:jc w:val="right"/>
              <w:spacing w:after="0"/>
              <w:rPr>
                <w:sz w:val="20"/>
                <w:szCs w:val="20"/>
                <w:color w:val="auto"/>
              </w:rPr>
            </w:pPr>
            <w:r>
              <w:rPr>
                <w:rFonts w:ascii="Arial" w:cs="Arial" w:eastAsia="Arial" w:hAnsi="Arial"/>
                <w:sz w:val="14"/>
                <w:szCs w:val="14"/>
                <w:color w:val="auto"/>
              </w:rPr>
              <w:t>2,100,006</w:t>
            </w:r>
          </w:p>
        </w:tc>
        <w:tc>
          <w:tcPr>
            <w:tcW w:w="0" w:type="dxa"/>
            <w:vAlign w:val="bottom"/>
          </w:tcPr>
          <w:p>
            <w:pPr>
              <w:spacing w:after="0"/>
              <w:rPr>
                <w:sz w:val="1"/>
                <w:szCs w:val="1"/>
                <w:color w:val="auto"/>
              </w:rPr>
            </w:pPr>
          </w:p>
        </w:tc>
      </w:tr>
      <w:tr>
        <w:trPr>
          <w:trHeight w:val="177"/>
        </w:trPr>
        <w:tc>
          <w:tcPr>
            <w:tcW w:w="9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Annual</w:t>
            </w:r>
          </w:p>
        </w:tc>
        <w:tc>
          <w:tcPr>
            <w:tcW w:w="1060" w:type="dxa"/>
            <w:vAlign w:val="bottom"/>
            <w:gridSpan w:val="2"/>
          </w:tcPr>
          <w:p>
            <w:pPr>
              <w:jc w:val="right"/>
              <w:ind w:right="11"/>
              <w:spacing w:after="0"/>
              <w:rPr>
                <w:sz w:val="20"/>
                <w:szCs w:val="20"/>
                <w:color w:val="auto"/>
              </w:rPr>
            </w:pPr>
            <w:r>
              <w:rPr>
                <w:rFonts w:ascii="Arial" w:cs="Arial" w:eastAsia="Arial" w:hAnsi="Arial"/>
                <w:sz w:val="14"/>
                <w:szCs w:val="14"/>
                <w:color w:val="auto"/>
              </w:rPr>
              <w:t>73,125</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1,462,500</w:t>
            </w:r>
          </w:p>
        </w:tc>
        <w:tc>
          <w:tcPr>
            <w:tcW w:w="780" w:type="dxa"/>
            <w:vAlign w:val="bottom"/>
          </w:tcPr>
          <w:p>
            <w:pPr>
              <w:jc w:val="right"/>
              <w:spacing w:after="0"/>
              <w:rPr>
                <w:sz w:val="20"/>
                <w:szCs w:val="20"/>
                <w:color w:val="auto"/>
              </w:rPr>
            </w:pPr>
            <w:r>
              <w:rPr>
                <w:rFonts w:ascii="Arial" w:cs="Arial" w:eastAsia="Arial" w:hAnsi="Arial"/>
                <w:sz w:val="14"/>
                <w:szCs w:val="14"/>
                <w:color w:val="auto"/>
              </w:rPr>
              <w:t>2,925,000</w:t>
            </w:r>
          </w:p>
        </w:tc>
        <w:tc>
          <w:tcPr>
            <w:tcW w:w="80" w:type="dxa"/>
            <w:vAlign w:val="bottom"/>
          </w:tcPr>
          <w:p>
            <w:pPr>
              <w:spacing w:after="0"/>
              <w:rPr>
                <w:sz w:val="15"/>
                <w:szCs w:val="15"/>
                <w:color w:val="auto"/>
              </w:rPr>
            </w:pPr>
          </w:p>
        </w:tc>
        <w:tc>
          <w:tcPr>
            <w:tcW w:w="900" w:type="dxa"/>
            <w:vAlign w:val="bottom"/>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920" w:type="dxa"/>
            <w:vAlign w:val="bottom"/>
            <w:tcBorders>
              <w:bottom w:val="single" w:sz="8" w:color="E6E6E6"/>
            </w:tcBorders>
          </w:tcPr>
          <w:p>
            <w:pPr>
              <w:spacing w:after="0"/>
              <w:rPr>
                <w:sz w:val="16"/>
                <w:szCs w:val="16"/>
                <w:color w:val="auto"/>
              </w:rPr>
            </w:pPr>
          </w:p>
        </w:tc>
        <w:tc>
          <w:tcPr>
            <w:tcW w:w="880" w:type="dxa"/>
            <w:vAlign w:val="bottom"/>
            <w:tcBorders>
              <w:bottom w:val="single" w:sz="8" w:color="E6E6E6"/>
            </w:tcBorders>
          </w:tcPr>
          <w:p>
            <w:pPr>
              <w:jc w:val="right"/>
              <w:spacing w:after="0"/>
              <w:rPr>
                <w:sz w:val="20"/>
                <w:szCs w:val="20"/>
                <w:color w:val="auto"/>
              </w:rPr>
            </w:pPr>
            <w:r>
              <w:rPr>
                <w:rFonts w:ascii="Arial" w:cs="Arial" w:eastAsia="Arial" w:hAnsi="Arial"/>
                <w:sz w:val="14"/>
                <w:szCs w:val="14"/>
                <w:color w:val="auto"/>
              </w:rPr>
              <w:t>Incentive</w:t>
            </w:r>
          </w:p>
        </w:tc>
        <w:tc>
          <w:tcPr>
            <w:tcW w:w="22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c>
          <w:tcPr>
            <w:tcW w:w="820" w:type="dxa"/>
            <w:vAlign w:val="bottom"/>
            <w:tcBorders>
              <w:bottom w:val="single" w:sz="8" w:color="E6E6E6"/>
            </w:tcBorders>
          </w:tcPr>
          <w:p>
            <w:pPr>
              <w:spacing w:after="0"/>
              <w:rPr>
                <w:sz w:val="16"/>
                <w:szCs w:val="16"/>
                <w:color w:val="auto"/>
              </w:rPr>
            </w:pPr>
          </w:p>
        </w:tc>
        <w:tc>
          <w:tcPr>
            <w:tcW w:w="780" w:type="dxa"/>
            <w:vAlign w:val="bottom"/>
            <w:tcBorders>
              <w:bottom w:val="single" w:sz="8" w:color="E6E6E6"/>
            </w:tcBorders>
          </w:tcPr>
          <w:p>
            <w:pPr>
              <w:spacing w:after="0"/>
              <w:rPr>
                <w:sz w:val="16"/>
                <w:szCs w:val="16"/>
                <w:color w:val="auto"/>
              </w:rPr>
            </w:pPr>
          </w:p>
        </w:tc>
        <w:tc>
          <w:tcPr>
            <w:tcW w:w="80" w:type="dxa"/>
            <w:vAlign w:val="bottom"/>
            <w:tcBorders>
              <w:bottom w:val="single" w:sz="8" w:color="E6E6E6"/>
            </w:tcBorders>
          </w:tcPr>
          <w:p>
            <w:pPr>
              <w:spacing w:after="0"/>
              <w:rPr>
                <w:sz w:val="16"/>
                <w:szCs w:val="16"/>
                <w:color w:val="auto"/>
              </w:rPr>
            </w:pPr>
          </w:p>
        </w:tc>
        <w:tc>
          <w:tcPr>
            <w:tcW w:w="900" w:type="dxa"/>
            <w:vAlign w:val="bottom"/>
            <w:tcBorders>
              <w:bottom w:val="single" w:sz="8" w:color="E6E6E6"/>
            </w:tcBorders>
          </w:tcPr>
          <w:p>
            <w:pPr>
              <w:spacing w:after="0"/>
              <w:rPr>
                <w:sz w:val="16"/>
                <w:szCs w:val="16"/>
                <w:color w:val="auto"/>
              </w:rPr>
            </w:pPr>
          </w:p>
        </w:tc>
        <w:tc>
          <w:tcPr>
            <w:tcW w:w="780" w:type="dxa"/>
            <w:vAlign w:val="bottom"/>
            <w:tcBorders>
              <w:bottom w:val="single" w:sz="8" w:color="E6E6E6"/>
            </w:tcBorders>
          </w:tcPr>
          <w:p>
            <w:pPr>
              <w:spacing w:after="0"/>
              <w:rPr>
                <w:sz w:val="16"/>
                <w:szCs w:val="16"/>
                <w:color w:val="auto"/>
              </w:rPr>
            </w:pPr>
          </w:p>
        </w:tc>
        <w:tc>
          <w:tcPr>
            <w:tcW w:w="740" w:type="dxa"/>
            <w:vAlign w:val="bottom"/>
            <w:tcBorders>
              <w:bottom w:val="single" w:sz="8" w:color="E6E6E6"/>
            </w:tcBorders>
          </w:tcPr>
          <w:p>
            <w:pPr>
              <w:spacing w:after="0"/>
              <w:rPr>
                <w:sz w:val="16"/>
                <w:szCs w:val="16"/>
                <w:color w:val="auto"/>
              </w:rPr>
            </w:pPr>
          </w:p>
        </w:tc>
        <w:tc>
          <w:tcPr>
            <w:tcW w:w="940" w:type="dxa"/>
            <w:vAlign w:val="bottom"/>
            <w:tcBorders>
              <w:bottom w:val="single" w:sz="8" w:color="E6E6E6"/>
            </w:tcBorders>
          </w:tcPr>
          <w:p>
            <w:pPr>
              <w:spacing w:after="0"/>
              <w:rPr>
                <w:sz w:val="16"/>
                <w:szCs w:val="16"/>
                <w:color w:val="auto"/>
              </w:rPr>
            </w:pPr>
          </w:p>
        </w:tc>
        <w:tc>
          <w:tcPr>
            <w:tcW w:w="860" w:type="dxa"/>
            <w:vAlign w:val="bottom"/>
            <w:tcBorders>
              <w:bottom w:val="single" w:sz="8" w:color="E6E6E6"/>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2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b w:val="1"/>
                <w:bCs w:val="1"/>
                <w:color w:val="431C5B"/>
              </w:rPr>
              <w:t>Firdaus</w:t>
            </w:r>
          </w:p>
        </w:tc>
        <w:tc>
          <w:tcPr>
            <w:tcW w:w="88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02/28/2025</w:t>
            </w:r>
          </w:p>
        </w:tc>
        <w:tc>
          <w:tcPr>
            <w:tcW w:w="220" w:type="dxa"/>
            <w:vAlign w:val="bottom"/>
            <w:tcBorders>
              <w:bottom w:val="single" w:sz="8" w:color="EDFAEC"/>
            </w:tcBorders>
            <w:shd w:val="clear" w:color="auto" w:fill="EDFAEC"/>
          </w:tcPr>
          <w:p>
            <w:pPr>
              <w:spacing w:after="0"/>
              <w:rPr>
                <w:sz w:val="17"/>
                <w:szCs w:val="17"/>
                <w:color w:val="auto"/>
              </w:rPr>
            </w:pPr>
          </w:p>
        </w:tc>
        <w:tc>
          <w:tcPr>
            <w:tcW w:w="840" w:type="dxa"/>
            <w:vAlign w:val="bottom"/>
            <w:tcBorders>
              <w:bottom w:val="single" w:sz="8" w:color="EDFAEC"/>
            </w:tcBorders>
            <w:shd w:val="clear" w:color="auto" w:fill="EDFAEC"/>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DFAEC"/>
            </w:tcBorders>
            <w:shd w:val="clear" w:color="auto" w:fill="EDFAEC"/>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DFAEC"/>
            </w:tcBorders>
            <w:gridSpan w:val="2"/>
            <w:shd w:val="clear" w:color="auto" w:fill="EDFAEC"/>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DFAEC"/>
            </w:tcBorders>
            <w:shd w:val="clear" w:color="auto" w:fill="EDFAEC"/>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DFAEC"/>
            </w:tcBorders>
            <w:shd w:val="clear" w:color="auto" w:fill="EDFAEC"/>
          </w:tcPr>
          <w:p>
            <w:pPr>
              <w:jc w:val="right"/>
              <w:ind w:right="50"/>
              <w:spacing w:after="0"/>
              <w:rPr>
                <w:sz w:val="20"/>
                <w:szCs w:val="20"/>
                <w:color w:val="auto"/>
              </w:rPr>
            </w:pPr>
            <w:r>
              <w:rPr>
                <w:rFonts w:ascii="Arial" w:cs="Arial" w:eastAsia="Arial" w:hAnsi="Arial"/>
                <w:sz w:val="14"/>
                <w:szCs w:val="14"/>
                <w:color w:val="auto"/>
              </w:rPr>
              <w:t>28,881</w:t>
            </w:r>
          </w:p>
        </w:tc>
        <w:tc>
          <w:tcPr>
            <w:tcW w:w="74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72,203</w:t>
            </w:r>
          </w:p>
        </w:tc>
        <w:tc>
          <w:tcPr>
            <w:tcW w:w="940" w:type="dxa"/>
            <w:vAlign w:val="bottom"/>
            <w:tcBorders>
              <w:bottom w:val="single" w:sz="8" w:color="EDFAEC"/>
            </w:tcBorders>
            <w:shd w:val="clear" w:color="auto" w:fill="EDFAEC"/>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2,040,154</w:t>
            </w:r>
          </w:p>
        </w:tc>
        <w:tc>
          <w:tcPr>
            <w:tcW w:w="0" w:type="dxa"/>
            <w:vAlign w:val="bottom"/>
          </w:tcPr>
          <w:p>
            <w:pPr>
              <w:spacing w:after="0"/>
              <w:rPr>
                <w:sz w:val="1"/>
                <w:szCs w:val="1"/>
                <w:color w:val="auto"/>
              </w:rPr>
            </w:pPr>
          </w:p>
        </w:tc>
      </w:tr>
      <w:tr>
        <w:trPr>
          <w:trHeight w:val="196"/>
        </w:trPr>
        <w:tc>
          <w:tcPr>
            <w:tcW w:w="920" w:type="dxa"/>
            <w:vAlign w:val="bottom"/>
            <w:tcBorders>
              <w:top w:val="single" w:sz="8" w:color="EDFAEC"/>
              <w:bottom w:val="single" w:sz="8" w:color="EDFAEC"/>
            </w:tcBorders>
            <w:shd w:val="clear" w:color="auto" w:fill="EDFAEC"/>
          </w:tcPr>
          <w:p>
            <w:pPr>
              <w:ind w:left="80"/>
              <w:spacing w:after="0" w:line="195" w:lineRule="exact"/>
              <w:rPr>
                <w:sz w:val="20"/>
                <w:szCs w:val="20"/>
                <w:color w:val="auto"/>
              </w:rPr>
            </w:pPr>
            <w:r>
              <w:rPr>
                <w:rFonts w:ascii="Arial" w:cs="Arial" w:eastAsia="Arial" w:hAnsi="Arial"/>
                <w:sz w:val="14"/>
                <w:szCs w:val="14"/>
                <w:b w:val="1"/>
                <w:bCs w:val="1"/>
                <w:color w:val="431C5B"/>
                <w:w w:val="99"/>
              </w:rPr>
              <w:t xml:space="preserve">Bhathena </w:t>
            </w:r>
            <w:r>
              <w:rPr>
                <w:rFonts w:ascii="Arial" w:cs="Arial" w:eastAsia="Arial" w:hAnsi="Arial"/>
                <w:sz w:val="18"/>
                <w:szCs w:val="18"/>
                <w:b w:val="1"/>
                <w:bCs w:val="1"/>
                <w:color w:val="431C5B"/>
                <w:w w:val="99"/>
                <w:vertAlign w:val="superscript"/>
              </w:rPr>
              <w:t>(6)</w:t>
            </w:r>
          </w:p>
        </w:tc>
        <w:tc>
          <w:tcPr>
            <w:tcW w:w="880" w:type="dxa"/>
            <w:vAlign w:val="bottom"/>
            <w:tcBorders>
              <w:top w:val="single" w:sz="8" w:color="E6E6E6"/>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02/28/2025</w:t>
            </w:r>
          </w:p>
        </w:tc>
        <w:tc>
          <w:tcPr>
            <w:tcW w:w="220" w:type="dxa"/>
            <w:vAlign w:val="bottom"/>
            <w:tcBorders>
              <w:top w:val="single" w:sz="8" w:color="E6E6E6"/>
              <w:bottom w:val="single" w:sz="8" w:color="E6E6E6"/>
            </w:tcBorders>
            <w:shd w:val="clear" w:color="auto" w:fill="EDFAEC"/>
          </w:tcPr>
          <w:p>
            <w:pPr>
              <w:spacing w:after="0"/>
              <w:rPr>
                <w:sz w:val="17"/>
                <w:szCs w:val="17"/>
                <w:color w:val="auto"/>
              </w:rPr>
            </w:pPr>
          </w:p>
        </w:tc>
        <w:tc>
          <w:tcPr>
            <w:tcW w:w="840" w:type="dxa"/>
            <w:vAlign w:val="bottom"/>
            <w:tcBorders>
              <w:top w:val="single" w:sz="8" w:color="E6E6E6"/>
              <w:bottom w:val="single" w:sz="8" w:color="E6E6E6"/>
            </w:tcBorders>
            <w:shd w:val="clear" w:color="auto" w:fill="EDFAEC"/>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E6E6E6"/>
              <w:bottom w:val="single" w:sz="8" w:color="E6E6E6"/>
            </w:tcBorders>
            <w:shd w:val="clear" w:color="auto" w:fill="EDFAEC"/>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E6E6E6"/>
              <w:bottom w:val="single" w:sz="8" w:color="E6E6E6"/>
            </w:tcBorders>
            <w:gridSpan w:val="2"/>
            <w:shd w:val="clear" w:color="auto" w:fill="EDFAEC"/>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E6E6E6"/>
              <w:bottom w:val="single" w:sz="8" w:color="E6E6E6"/>
            </w:tcBorders>
            <w:shd w:val="clear" w:color="auto" w:fill="EDFAEC"/>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E6E6E6"/>
              <w:bottom w:val="single" w:sz="8" w:color="E6E6E6"/>
            </w:tcBorders>
            <w:shd w:val="clear" w:color="auto" w:fill="EDFAEC"/>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E6E6E6"/>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E6E6E6"/>
              <w:bottom w:val="single" w:sz="8" w:color="E6E6E6"/>
            </w:tcBorders>
            <w:shd w:val="clear" w:color="auto" w:fill="EDFAEC"/>
          </w:tcPr>
          <w:p>
            <w:pPr>
              <w:jc w:val="right"/>
              <w:ind w:right="31"/>
              <w:spacing w:after="0"/>
              <w:rPr>
                <w:sz w:val="20"/>
                <w:szCs w:val="20"/>
                <w:color w:val="auto"/>
              </w:rPr>
            </w:pPr>
            <w:r>
              <w:rPr>
                <w:rFonts w:ascii="Arial" w:cs="Arial" w:eastAsia="Arial" w:hAnsi="Arial"/>
                <w:sz w:val="14"/>
                <w:szCs w:val="14"/>
                <w:color w:val="auto"/>
              </w:rPr>
              <w:t>28,881</w:t>
            </w:r>
          </w:p>
        </w:tc>
        <w:tc>
          <w:tcPr>
            <w:tcW w:w="860" w:type="dxa"/>
            <w:vAlign w:val="bottom"/>
            <w:tcBorders>
              <w:top w:val="single" w:sz="8" w:color="E6E6E6"/>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2,000,009</w:t>
            </w:r>
          </w:p>
        </w:tc>
        <w:tc>
          <w:tcPr>
            <w:tcW w:w="0" w:type="dxa"/>
            <w:vAlign w:val="bottom"/>
          </w:tcPr>
          <w:p>
            <w:pPr>
              <w:spacing w:after="0"/>
              <w:rPr>
                <w:sz w:val="1"/>
                <w:szCs w:val="1"/>
                <w:color w:val="auto"/>
              </w:rPr>
            </w:pPr>
          </w:p>
        </w:tc>
      </w:tr>
      <w:tr>
        <w:trPr>
          <w:trHeight w:val="174"/>
        </w:trPr>
        <w:tc>
          <w:tcPr>
            <w:tcW w:w="920" w:type="dxa"/>
            <w:vAlign w:val="bottom"/>
            <w:shd w:val="clear" w:color="auto" w:fill="EDFAEC"/>
          </w:tcPr>
          <w:p>
            <w:pPr>
              <w:spacing w:after="0"/>
              <w:rPr>
                <w:sz w:val="15"/>
                <w:szCs w:val="15"/>
                <w:color w:val="auto"/>
              </w:rPr>
            </w:pPr>
          </w:p>
        </w:tc>
        <w:tc>
          <w:tcPr>
            <w:tcW w:w="880" w:type="dxa"/>
            <w:vAlign w:val="bottom"/>
            <w:shd w:val="clear" w:color="auto" w:fill="EDFAEC"/>
          </w:tcPr>
          <w:p>
            <w:pPr>
              <w:jc w:val="right"/>
              <w:spacing w:after="0"/>
              <w:rPr>
                <w:sz w:val="20"/>
                <w:szCs w:val="20"/>
                <w:color w:val="auto"/>
              </w:rPr>
            </w:pPr>
            <w:r>
              <w:rPr>
                <w:rFonts w:ascii="Arial" w:cs="Arial" w:eastAsia="Arial" w:hAnsi="Arial"/>
                <w:sz w:val="14"/>
                <w:szCs w:val="14"/>
                <w:color w:val="auto"/>
              </w:rPr>
              <w:t>Annual</w:t>
            </w:r>
          </w:p>
        </w:tc>
        <w:tc>
          <w:tcPr>
            <w:tcW w:w="220" w:type="dxa"/>
            <w:vAlign w:val="bottom"/>
            <w:shd w:val="clear" w:color="auto" w:fill="EDFAEC"/>
          </w:tcPr>
          <w:p>
            <w:pPr>
              <w:spacing w:after="0"/>
              <w:rPr>
                <w:sz w:val="15"/>
                <w:szCs w:val="15"/>
                <w:color w:val="auto"/>
              </w:rPr>
            </w:pPr>
          </w:p>
        </w:tc>
        <w:tc>
          <w:tcPr>
            <w:tcW w:w="840" w:type="dxa"/>
            <w:vAlign w:val="bottom"/>
            <w:shd w:val="clear" w:color="auto" w:fill="EDFAEC"/>
          </w:tcPr>
          <w:p>
            <w:pPr>
              <w:jc w:val="right"/>
              <w:ind w:right="11"/>
              <w:spacing w:after="0"/>
              <w:rPr>
                <w:sz w:val="20"/>
                <w:szCs w:val="20"/>
                <w:color w:val="auto"/>
              </w:rPr>
            </w:pPr>
            <w:r>
              <w:rPr>
                <w:rFonts w:ascii="Arial" w:cs="Arial" w:eastAsia="Arial" w:hAnsi="Arial"/>
                <w:sz w:val="14"/>
                <w:szCs w:val="14"/>
                <w:color w:val="auto"/>
              </w:rPr>
              <w:t>49,000</w:t>
            </w:r>
          </w:p>
        </w:tc>
        <w:tc>
          <w:tcPr>
            <w:tcW w:w="820" w:type="dxa"/>
            <w:vAlign w:val="bottom"/>
            <w:shd w:val="clear" w:color="auto" w:fill="EDFAEC"/>
          </w:tcPr>
          <w:p>
            <w:pPr>
              <w:jc w:val="right"/>
              <w:ind w:right="30"/>
              <w:spacing w:after="0"/>
              <w:rPr>
                <w:sz w:val="20"/>
                <w:szCs w:val="20"/>
                <w:color w:val="auto"/>
              </w:rPr>
            </w:pPr>
            <w:r>
              <w:rPr>
                <w:rFonts w:ascii="Arial" w:cs="Arial" w:eastAsia="Arial" w:hAnsi="Arial"/>
                <w:sz w:val="14"/>
                <w:szCs w:val="14"/>
                <w:color w:val="auto"/>
              </w:rPr>
              <w:t>980,000</w:t>
            </w:r>
          </w:p>
        </w:tc>
        <w:tc>
          <w:tcPr>
            <w:tcW w:w="780" w:type="dxa"/>
            <w:vAlign w:val="bottom"/>
            <w:shd w:val="clear" w:color="auto" w:fill="EDFAEC"/>
          </w:tcPr>
          <w:p>
            <w:pPr>
              <w:jc w:val="right"/>
              <w:spacing w:after="0"/>
              <w:rPr>
                <w:sz w:val="20"/>
                <w:szCs w:val="20"/>
                <w:color w:val="auto"/>
              </w:rPr>
            </w:pPr>
            <w:r>
              <w:rPr>
                <w:rFonts w:ascii="Arial" w:cs="Arial" w:eastAsia="Arial" w:hAnsi="Arial"/>
                <w:sz w:val="14"/>
                <w:szCs w:val="14"/>
                <w:color w:val="auto"/>
              </w:rPr>
              <w:t>1,960,000</w:t>
            </w:r>
          </w:p>
        </w:tc>
        <w:tc>
          <w:tcPr>
            <w:tcW w:w="80" w:type="dxa"/>
            <w:vAlign w:val="bottom"/>
            <w:shd w:val="clear" w:color="auto" w:fill="EDFAEC"/>
          </w:tcPr>
          <w:p>
            <w:pPr>
              <w:spacing w:after="0"/>
              <w:rPr>
                <w:sz w:val="15"/>
                <w:szCs w:val="15"/>
                <w:color w:val="auto"/>
              </w:rPr>
            </w:pPr>
          </w:p>
        </w:tc>
        <w:tc>
          <w:tcPr>
            <w:tcW w:w="900" w:type="dxa"/>
            <w:vAlign w:val="bottom"/>
            <w:shd w:val="clear" w:color="auto" w:fill="EDFAEC"/>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shd w:val="clear" w:color="auto" w:fill="EDFAEC"/>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DFAEC"/>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920" w:type="dxa"/>
            <w:vAlign w:val="bottom"/>
            <w:tcBorders>
              <w:bottom w:val="single" w:sz="8" w:color="E6E6E6"/>
            </w:tcBorders>
            <w:shd w:val="clear" w:color="auto" w:fill="EDFAEC"/>
          </w:tcPr>
          <w:p>
            <w:pPr>
              <w:spacing w:after="0"/>
              <w:rPr>
                <w:sz w:val="16"/>
                <w:szCs w:val="16"/>
                <w:color w:val="auto"/>
              </w:rPr>
            </w:pPr>
          </w:p>
        </w:tc>
        <w:tc>
          <w:tcPr>
            <w:tcW w:w="8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Incentive</w:t>
            </w:r>
          </w:p>
        </w:tc>
        <w:tc>
          <w:tcPr>
            <w:tcW w:w="220" w:type="dxa"/>
            <w:vAlign w:val="bottom"/>
            <w:tcBorders>
              <w:bottom w:val="single" w:sz="8" w:color="E6E6E6"/>
            </w:tcBorders>
            <w:shd w:val="clear" w:color="auto" w:fill="EDFAEC"/>
          </w:tcPr>
          <w:p>
            <w:pPr>
              <w:spacing w:after="0"/>
              <w:rPr>
                <w:sz w:val="16"/>
                <w:szCs w:val="16"/>
                <w:color w:val="auto"/>
              </w:rPr>
            </w:pPr>
          </w:p>
        </w:tc>
        <w:tc>
          <w:tcPr>
            <w:tcW w:w="840" w:type="dxa"/>
            <w:vAlign w:val="bottom"/>
            <w:tcBorders>
              <w:bottom w:val="single" w:sz="8" w:color="E6E6E6"/>
            </w:tcBorders>
            <w:shd w:val="clear" w:color="auto" w:fill="EDFAEC"/>
          </w:tcPr>
          <w:p>
            <w:pPr>
              <w:spacing w:after="0"/>
              <w:rPr>
                <w:sz w:val="16"/>
                <w:szCs w:val="16"/>
                <w:color w:val="auto"/>
              </w:rPr>
            </w:pPr>
          </w:p>
        </w:tc>
        <w:tc>
          <w:tcPr>
            <w:tcW w:w="820" w:type="dxa"/>
            <w:vAlign w:val="bottom"/>
            <w:tcBorders>
              <w:bottom w:val="single" w:sz="8" w:color="E6E6E6"/>
            </w:tcBorders>
            <w:shd w:val="clear" w:color="auto" w:fill="EDFAEC"/>
          </w:tcPr>
          <w:p>
            <w:pPr>
              <w:spacing w:after="0"/>
              <w:rPr>
                <w:sz w:val="16"/>
                <w:szCs w:val="16"/>
                <w:color w:val="auto"/>
              </w:rPr>
            </w:pPr>
          </w:p>
        </w:tc>
        <w:tc>
          <w:tcPr>
            <w:tcW w:w="780" w:type="dxa"/>
            <w:vAlign w:val="bottom"/>
            <w:tcBorders>
              <w:bottom w:val="single" w:sz="8" w:color="E6E6E6"/>
            </w:tcBorders>
            <w:shd w:val="clear" w:color="auto" w:fill="EDFAEC"/>
          </w:tcPr>
          <w:p>
            <w:pPr>
              <w:spacing w:after="0"/>
              <w:rPr>
                <w:sz w:val="16"/>
                <w:szCs w:val="16"/>
                <w:color w:val="auto"/>
              </w:rPr>
            </w:pPr>
          </w:p>
        </w:tc>
        <w:tc>
          <w:tcPr>
            <w:tcW w:w="80" w:type="dxa"/>
            <w:vAlign w:val="bottom"/>
            <w:tcBorders>
              <w:bottom w:val="single" w:sz="8" w:color="E6E6E6"/>
            </w:tcBorders>
            <w:shd w:val="clear" w:color="auto" w:fill="EDFAEC"/>
          </w:tcPr>
          <w:p>
            <w:pPr>
              <w:spacing w:after="0"/>
              <w:rPr>
                <w:sz w:val="16"/>
                <w:szCs w:val="16"/>
                <w:color w:val="auto"/>
              </w:rPr>
            </w:pPr>
          </w:p>
        </w:tc>
        <w:tc>
          <w:tcPr>
            <w:tcW w:w="900" w:type="dxa"/>
            <w:vAlign w:val="bottom"/>
            <w:tcBorders>
              <w:bottom w:val="single" w:sz="8" w:color="E6E6E6"/>
            </w:tcBorders>
            <w:shd w:val="clear" w:color="auto" w:fill="EDFAEC"/>
          </w:tcPr>
          <w:p>
            <w:pPr>
              <w:spacing w:after="0"/>
              <w:rPr>
                <w:sz w:val="16"/>
                <w:szCs w:val="16"/>
                <w:color w:val="auto"/>
              </w:rPr>
            </w:pPr>
          </w:p>
        </w:tc>
        <w:tc>
          <w:tcPr>
            <w:tcW w:w="780" w:type="dxa"/>
            <w:vAlign w:val="bottom"/>
            <w:tcBorders>
              <w:bottom w:val="single" w:sz="8" w:color="E6E6E6"/>
            </w:tcBorders>
            <w:shd w:val="clear" w:color="auto" w:fill="EDFAEC"/>
          </w:tcPr>
          <w:p>
            <w:pPr>
              <w:spacing w:after="0"/>
              <w:rPr>
                <w:sz w:val="16"/>
                <w:szCs w:val="16"/>
                <w:color w:val="auto"/>
              </w:rPr>
            </w:pPr>
          </w:p>
        </w:tc>
        <w:tc>
          <w:tcPr>
            <w:tcW w:w="740" w:type="dxa"/>
            <w:vAlign w:val="bottom"/>
            <w:tcBorders>
              <w:bottom w:val="single" w:sz="8" w:color="E6E6E6"/>
            </w:tcBorders>
            <w:shd w:val="clear" w:color="auto" w:fill="EDFAEC"/>
          </w:tcPr>
          <w:p>
            <w:pPr>
              <w:spacing w:after="0"/>
              <w:rPr>
                <w:sz w:val="16"/>
                <w:szCs w:val="16"/>
                <w:color w:val="auto"/>
              </w:rPr>
            </w:pPr>
          </w:p>
        </w:tc>
        <w:tc>
          <w:tcPr>
            <w:tcW w:w="940" w:type="dxa"/>
            <w:vAlign w:val="bottom"/>
            <w:tcBorders>
              <w:bottom w:val="single" w:sz="8" w:color="E6E6E6"/>
            </w:tcBorders>
            <w:shd w:val="clear" w:color="auto" w:fill="EDFAEC"/>
          </w:tcPr>
          <w:p>
            <w:pPr>
              <w:spacing w:after="0"/>
              <w:rPr>
                <w:sz w:val="16"/>
                <w:szCs w:val="16"/>
                <w:color w:val="auto"/>
              </w:rPr>
            </w:pPr>
          </w:p>
        </w:tc>
        <w:tc>
          <w:tcPr>
            <w:tcW w:w="860" w:type="dxa"/>
            <w:vAlign w:val="bottom"/>
            <w:tcBorders>
              <w:bottom w:val="single" w:sz="8" w:color="E6E6E6"/>
            </w:tcBorders>
            <w:shd w:val="clear" w:color="auto" w:fill="EDFAE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20" w:type="dxa"/>
            <w:vAlign w:val="bottom"/>
          </w:tcPr>
          <w:p>
            <w:pPr>
              <w:ind w:left="80"/>
              <w:spacing w:after="0"/>
              <w:rPr>
                <w:sz w:val="20"/>
                <w:szCs w:val="20"/>
                <w:color w:val="auto"/>
              </w:rPr>
            </w:pPr>
            <w:r>
              <w:rPr>
                <w:rFonts w:ascii="Arial" w:cs="Arial" w:eastAsia="Arial" w:hAnsi="Arial"/>
                <w:sz w:val="14"/>
                <w:szCs w:val="14"/>
                <w:b w:val="1"/>
                <w:bCs w:val="1"/>
                <w:color w:val="431C5B"/>
              </w:rPr>
              <w:t>Robert</w:t>
            </w:r>
          </w:p>
        </w:tc>
        <w:tc>
          <w:tcPr>
            <w:tcW w:w="880" w:type="dxa"/>
            <w:vAlign w:val="bottom"/>
          </w:tcPr>
          <w:p>
            <w:pPr>
              <w:jc w:val="right"/>
              <w:spacing w:after="0"/>
              <w:rPr>
                <w:sz w:val="20"/>
                <w:szCs w:val="20"/>
                <w:color w:val="auto"/>
              </w:rPr>
            </w:pPr>
            <w:r>
              <w:rPr>
                <w:rFonts w:ascii="Arial" w:cs="Arial" w:eastAsia="Arial" w:hAnsi="Arial"/>
                <w:sz w:val="14"/>
                <w:szCs w:val="14"/>
                <w:color w:val="auto"/>
              </w:rPr>
              <w:t>02/28/2025</w:t>
            </w:r>
          </w:p>
        </w:tc>
        <w:tc>
          <w:tcPr>
            <w:tcW w:w="22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21,661</w:t>
            </w:r>
          </w:p>
        </w:tc>
        <w:tc>
          <w:tcPr>
            <w:tcW w:w="740" w:type="dxa"/>
            <w:vAlign w:val="bottom"/>
          </w:tcPr>
          <w:p>
            <w:pPr>
              <w:jc w:val="right"/>
              <w:spacing w:after="0"/>
              <w:rPr>
                <w:sz w:val="20"/>
                <w:szCs w:val="20"/>
                <w:color w:val="auto"/>
              </w:rPr>
            </w:pPr>
            <w:r>
              <w:rPr>
                <w:rFonts w:ascii="Arial" w:cs="Arial" w:eastAsia="Arial" w:hAnsi="Arial"/>
                <w:sz w:val="14"/>
                <w:szCs w:val="14"/>
                <w:color w:val="auto"/>
              </w:rPr>
              <w:t>54,153</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1,530,133</w:t>
            </w:r>
          </w:p>
        </w:tc>
        <w:tc>
          <w:tcPr>
            <w:tcW w:w="0" w:type="dxa"/>
            <w:vAlign w:val="bottom"/>
          </w:tcPr>
          <w:p>
            <w:pPr>
              <w:spacing w:after="0"/>
              <w:rPr>
                <w:sz w:val="1"/>
                <w:szCs w:val="1"/>
                <w:color w:val="auto"/>
              </w:rPr>
            </w:pPr>
          </w:p>
        </w:tc>
      </w:tr>
      <w:tr>
        <w:trPr>
          <w:trHeight w:val="23"/>
        </w:trPr>
        <w:tc>
          <w:tcPr>
            <w:tcW w:w="920" w:type="dxa"/>
            <w:vAlign w:val="bottom"/>
            <w:vMerge w:val="restart"/>
          </w:tcPr>
          <w:p>
            <w:pPr>
              <w:ind w:left="80"/>
              <w:spacing w:after="0"/>
              <w:rPr>
                <w:sz w:val="20"/>
                <w:szCs w:val="20"/>
                <w:color w:val="auto"/>
              </w:rPr>
            </w:pPr>
            <w:r>
              <w:rPr>
                <w:rFonts w:ascii="Arial" w:cs="Arial" w:eastAsia="Arial" w:hAnsi="Arial"/>
                <w:sz w:val="14"/>
                <w:szCs w:val="14"/>
                <w:b w:val="1"/>
                <w:bCs w:val="1"/>
                <w:color w:val="431C5B"/>
              </w:rPr>
              <w:t>Toohey</w:t>
            </w:r>
          </w:p>
        </w:tc>
        <w:tc>
          <w:tcPr>
            <w:tcW w:w="880" w:type="dxa"/>
            <w:vAlign w:val="bottom"/>
            <w:tcBorders>
              <w:bottom w:val="single" w:sz="8" w:color="E6E6E6"/>
            </w:tcBorders>
          </w:tcPr>
          <w:p>
            <w:pPr>
              <w:spacing w:after="0" w:line="20" w:lineRule="exact"/>
              <w:rPr>
                <w:sz w:val="1"/>
                <w:szCs w:val="1"/>
                <w:color w:val="auto"/>
              </w:rPr>
            </w:pPr>
          </w:p>
        </w:tc>
        <w:tc>
          <w:tcPr>
            <w:tcW w:w="220" w:type="dxa"/>
            <w:vAlign w:val="bottom"/>
            <w:tcBorders>
              <w:bottom w:val="single" w:sz="8" w:color="E6E6E6"/>
            </w:tcBorders>
          </w:tcPr>
          <w:p>
            <w:pPr>
              <w:spacing w:after="0" w:line="20" w:lineRule="exact"/>
              <w:rPr>
                <w:sz w:val="1"/>
                <w:szCs w:val="1"/>
                <w:color w:val="auto"/>
              </w:rPr>
            </w:pPr>
          </w:p>
        </w:tc>
        <w:tc>
          <w:tcPr>
            <w:tcW w:w="840" w:type="dxa"/>
            <w:vAlign w:val="bottom"/>
            <w:tcBorders>
              <w:bottom w:val="single" w:sz="8" w:color="E6E6E6"/>
            </w:tcBorders>
          </w:tcPr>
          <w:p>
            <w:pPr>
              <w:spacing w:after="0" w:line="20" w:lineRule="exact"/>
              <w:rPr>
                <w:sz w:val="1"/>
                <w:szCs w:val="1"/>
                <w:color w:val="auto"/>
              </w:rPr>
            </w:pPr>
          </w:p>
        </w:tc>
        <w:tc>
          <w:tcPr>
            <w:tcW w:w="820" w:type="dxa"/>
            <w:vAlign w:val="bottom"/>
            <w:tcBorders>
              <w:bottom w:val="single" w:sz="8" w:color="E6E6E6"/>
            </w:tcBorders>
          </w:tcPr>
          <w:p>
            <w:pPr>
              <w:spacing w:after="0" w:line="20" w:lineRule="exact"/>
              <w:rPr>
                <w:sz w:val="1"/>
                <w:szCs w:val="1"/>
                <w:color w:val="auto"/>
              </w:rPr>
            </w:pPr>
          </w:p>
        </w:tc>
        <w:tc>
          <w:tcPr>
            <w:tcW w:w="780" w:type="dxa"/>
            <w:vAlign w:val="bottom"/>
            <w:tcBorders>
              <w:bottom w:val="single" w:sz="8" w:color="E6E6E6"/>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900" w:type="dxa"/>
            <w:vAlign w:val="bottom"/>
            <w:tcBorders>
              <w:bottom w:val="single" w:sz="8" w:color="E6E6E6"/>
            </w:tcBorders>
          </w:tcPr>
          <w:p>
            <w:pPr>
              <w:spacing w:after="0" w:line="20" w:lineRule="exact"/>
              <w:rPr>
                <w:sz w:val="1"/>
                <w:szCs w:val="1"/>
                <w:color w:val="auto"/>
              </w:rPr>
            </w:pPr>
          </w:p>
        </w:tc>
        <w:tc>
          <w:tcPr>
            <w:tcW w:w="780" w:type="dxa"/>
            <w:vAlign w:val="bottom"/>
            <w:tcBorders>
              <w:bottom w:val="single" w:sz="8" w:color="E6E6E6"/>
            </w:tcBorders>
          </w:tcPr>
          <w:p>
            <w:pPr>
              <w:spacing w:after="0" w:line="20" w:lineRule="exact"/>
              <w:rPr>
                <w:sz w:val="1"/>
                <w:szCs w:val="1"/>
                <w:color w:val="auto"/>
              </w:rPr>
            </w:pPr>
          </w:p>
        </w:tc>
        <w:tc>
          <w:tcPr>
            <w:tcW w:w="740" w:type="dxa"/>
            <w:vAlign w:val="bottom"/>
            <w:tcBorders>
              <w:bottom w:val="single" w:sz="8" w:color="E6E6E6"/>
            </w:tcBorders>
          </w:tcPr>
          <w:p>
            <w:pPr>
              <w:spacing w:after="0" w:line="20" w:lineRule="exact"/>
              <w:rPr>
                <w:sz w:val="1"/>
                <w:szCs w:val="1"/>
                <w:color w:val="auto"/>
              </w:rPr>
            </w:pPr>
          </w:p>
        </w:tc>
        <w:tc>
          <w:tcPr>
            <w:tcW w:w="940" w:type="dxa"/>
            <w:vAlign w:val="bottom"/>
            <w:tcBorders>
              <w:bottom w:val="single" w:sz="8" w:color="E6E6E6"/>
            </w:tcBorders>
          </w:tcPr>
          <w:p>
            <w:pPr>
              <w:spacing w:after="0" w:line="20" w:lineRule="exact"/>
              <w:rPr>
                <w:sz w:val="1"/>
                <w:szCs w:val="1"/>
                <w:color w:val="auto"/>
              </w:rPr>
            </w:pPr>
          </w:p>
        </w:tc>
        <w:tc>
          <w:tcPr>
            <w:tcW w:w="860" w:type="dxa"/>
            <w:vAlign w:val="bottom"/>
            <w:tcBorders>
              <w:bottom w:val="single" w:sz="8" w:color="E6E6E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920" w:type="dxa"/>
            <w:vAlign w:val="bottom"/>
            <w:vMerge w:val="continue"/>
          </w:tcPr>
          <w:p>
            <w:pPr>
              <w:spacing w:after="0"/>
              <w:rPr>
                <w:sz w:val="16"/>
                <w:szCs w:val="16"/>
                <w:color w:val="auto"/>
              </w:rPr>
            </w:pPr>
          </w:p>
        </w:tc>
        <w:tc>
          <w:tcPr>
            <w:tcW w:w="880" w:type="dxa"/>
            <w:vAlign w:val="bottom"/>
            <w:tcBorders>
              <w:bottom w:val="single" w:sz="8" w:color="E6E6E6"/>
            </w:tcBorders>
          </w:tcPr>
          <w:p>
            <w:pPr>
              <w:jc w:val="right"/>
              <w:spacing w:after="0"/>
              <w:rPr>
                <w:sz w:val="20"/>
                <w:szCs w:val="20"/>
                <w:color w:val="auto"/>
              </w:rPr>
            </w:pPr>
            <w:r>
              <w:rPr>
                <w:rFonts w:ascii="Arial" w:cs="Arial" w:eastAsia="Arial" w:hAnsi="Arial"/>
                <w:sz w:val="14"/>
                <w:szCs w:val="14"/>
                <w:color w:val="auto"/>
              </w:rPr>
              <w:t>02/28/2025</w:t>
            </w:r>
          </w:p>
        </w:tc>
        <w:tc>
          <w:tcPr>
            <w:tcW w:w="22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6E6E6"/>
            </w:tcBorders>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6E6E6"/>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6E6E6"/>
            </w:tcBorders>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6E6E6"/>
            </w:tcBorders>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6E6E6"/>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6E6E6"/>
            </w:tcBorders>
          </w:tcPr>
          <w:p>
            <w:pPr>
              <w:jc w:val="right"/>
              <w:ind w:right="31"/>
              <w:spacing w:after="0"/>
              <w:rPr>
                <w:sz w:val="20"/>
                <w:szCs w:val="20"/>
                <w:color w:val="auto"/>
              </w:rPr>
            </w:pPr>
            <w:r>
              <w:rPr>
                <w:rFonts w:ascii="Arial" w:cs="Arial" w:eastAsia="Arial" w:hAnsi="Arial"/>
                <w:sz w:val="14"/>
                <w:szCs w:val="14"/>
                <w:color w:val="auto"/>
              </w:rPr>
              <w:t>21,661</w:t>
            </w:r>
          </w:p>
        </w:tc>
        <w:tc>
          <w:tcPr>
            <w:tcW w:w="860" w:type="dxa"/>
            <w:vAlign w:val="bottom"/>
            <w:tcBorders>
              <w:bottom w:val="single" w:sz="8" w:color="E6E6E6"/>
            </w:tcBorders>
          </w:tcPr>
          <w:p>
            <w:pPr>
              <w:jc w:val="right"/>
              <w:spacing w:after="0"/>
              <w:rPr>
                <w:sz w:val="20"/>
                <w:szCs w:val="20"/>
                <w:color w:val="auto"/>
              </w:rPr>
            </w:pPr>
            <w:r>
              <w:rPr>
                <w:rFonts w:ascii="Arial" w:cs="Arial" w:eastAsia="Arial" w:hAnsi="Arial"/>
                <w:sz w:val="14"/>
                <w:szCs w:val="14"/>
                <w:color w:val="auto"/>
              </w:rPr>
              <w:t>1,500,024</w:t>
            </w:r>
          </w:p>
        </w:tc>
        <w:tc>
          <w:tcPr>
            <w:tcW w:w="0" w:type="dxa"/>
            <w:vAlign w:val="bottom"/>
          </w:tcPr>
          <w:p>
            <w:pPr>
              <w:spacing w:after="0"/>
              <w:rPr>
                <w:sz w:val="1"/>
                <w:szCs w:val="1"/>
                <w:color w:val="auto"/>
              </w:rPr>
            </w:pPr>
          </w:p>
        </w:tc>
      </w:tr>
      <w:tr>
        <w:trPr>
          <w:trHeight w:val="177"/>
        </w:trPr>
        <w:tc>
          <w:tcPr>
            <w:tcW w:w="9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Annual</w:t>
            </w:r>
          </w:p>
        </w:tc>
        <w:tc>
          <w:tcPr>
            <w:tcW w:w="1060" w:type="dxa"/>
            <w:vAlign w:val="bottom"/>
            <w:gridSpan w:val="2"/>
          </w:tcPr>
          <w:p>
            <w:pPr>
              <w:jc w:val="right"/>
              <w:ind w:right="11"/>
              <w:spacing w:after="0"/>
              <w:rPr>
                <w:sz w:val="20"/>
                <w:szCs w:val="20"/>
                <w:color w:val="auto"/>
              </w:rPr>
            </w:pPr>
            <w:r>
              <w:rPr>
                <w:rFonts w:ascii="Arial" w:cs="Arial" w:eastAsia="Arial" w:hAnsi="Arial"/>
                <w:sz w:val="14"/>
                <w:szCs w:val="14"/>
                <w:color w:val="auto"/>
              </w:rPr>
              <w:t>49,000</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980,000</w:t>
            </w:r>
          </w:p>
        </w:tc>
        <w:tc>
          <w:tcPr>
            <w:tcW w:w="780" w:type="dxa"/>
            <w:vAlign w:val="bottom"/>
          </w:tcPr>
          <w:p>
            <w:pPr>
              <w:jc w:val="right"/>
              <w:spacing w:after="0"/>
              <w:rPr>
                <w:sz w:val="20"/>
                <w:szCs w:val="20"/>
                <w:color w:val="auto"/>
              </w:rPr>
            </w:pPr>
            <w:r>
              <w:rPr>
                <w:rFonts w:ascii="Arial" w:cs="Arial" w:eastAsia="Arial" w:hAnsi="Arial"/>
                <w:sz w:val="14"/>
                <w:szCs w:val="14"/>
                <w:color w:val="auto"/>
              </w:rPr>
              <w:t>1,960,000</w:t>
            </w:r>
          </w:p>
        </w:tc>
        <w:tc>
          <w:tcPr>
            <w:tcW w:w="80" w:type="dxa"/>
            <w:vAlign w:val="bottom"/>
          </w:tcPr>
          <w:p>
            <w:pPr>
              <w:spacing w:after="0"/>
              <w:rPr>
                <w:sz w:val="15"/>
                <w:szCs w:val="15"/>
                <w:color w:val="auto"/>
              </w:rPr>
            </w:pPr>
          </w:p>
        </w:tc>
        <w:tc>
          <w:tcPr>
            <w:tcW w:w="900" w:type="dxa"/>
            <w:vAlign w:val="bottom"/>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920" w:type="dxa"/>
            <w:vAlign w:val="bottom"/>
            <w:tcBorders>
              <w:bottom w:val="single" w:sz="8" w:color="E6E6E6"/>
            </w:tcBorders>
          </w:tcPr>
          <w:p>
            <w:pPr>
              <w:spacing w:after="0"/>
              <w:rPr>
                <w:sz w:val="16"/>
                <w:szCs w:val="16"/>
                <w:color w:val="auto"/>
              </w:rPr>
            </w:pPr>
          </w:p>
        </w:tc>
        <w:tc>
          <w:tcPr>
            <w:tcW w:w="880" w:type="dxa"/>
            <w:vAlign w:val="bottom"/>
            <w:tcBorders>
              <w:bottom w:val="single" w:sz="8" w:color="E6E6E6"/>
            </w:tcBorders>
          </w:tcPr>
          <w:p>
            <w:pPr>
              <w:jc w:val="right"/>
              <w:spacing w:after="0"/>
              <w:rPr>
                <w:sz w:val="20"/>
                <w:szCs w:val="20"/>
                <w:color w:val="auto"/>
              </w:rPr>
            </w:pPr>
            <w:r>
              <w:rPr>
                <w:rFonts w:ascii="Arial" w:cs="Arial" w:eastAsia="Arial" w:hAnsi="Arial"/>
                <w:sz w:val="14"/>
                <w:szCs w:val="14"/>
                <w:color w:val="auto"/>
              </w:rPr>
              <w:t>Incentive</w:t>
            </w:r>
          </w:p>
        </w:tc>
        <w:tc>
          <w:tcPr>
            <w:tcW w:w="22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c>
          <w:tcPr>
            <w:tcW w:w="820" w:type="dxa"/>
            <w:vAlign w:val="bottom"/>
            <w:tcBorders>
              <w:bottom w:val="single" w:sz="8" w:color="E6E6E6"/>
            </w:tcBorders>
          </w:tcPr>
          <w:p>
            <w:pPr>
              <w:spacing w:after="0"/>
              <w:rPr>
                <w:sz w:val="16"/>
                <w:szCs w:val="16"/>
                <w:color w:val="auto"/>
              </w:rPr>
            </w:pPr>
          </w:p>
        </w:tc>
        <w:tc>
          <w:tcPr>
            <w:tcW w:w="780" w:type="dxa"/>
            <w:vAlign w:val="bottom"/>
            <w:tcBorders>
              <w:bottom w:val="single" w:sz="8" w:color="E6E6E6"/>
            </w:tcBorders>
          </w:tcPr>
          <w:p>
            <w:pPr>
              <w:spacing w:after="0"/>
              <w:rPr>
                <w:sz w:val="16"/>
                <w:szCs w:val="16"/>
                <w:color w:val="auto"/>
              </w:rPr>
            </w:pPr>
          </w:p>
        </w:tc>
        <w:tc>
          <w:tcPr>
            <w:tcW w:w="80" w:type="dxa"/>
            <w:vAlign w:val="bottom"/>
            <w:tcBorders>
              <w:bottom w:val="single" w:sz="8" w:color="E6E6E6"/>
            </w:tcBorders>
          </w:tcPr>
          <w:p>
            <w:pPr>
              <w:spacing w:after="0"/>
              <w:rPr>
                <w:sz w:val="16"/>
                <w:szCs w:val="16"/>
                <w:color w:val="auto"/>
              </w:rPr>
            </w:pPr>
          </w:p>
        </w:tc>
        <w:tc>
          <w:tcPr>
            <w:tcW w:w="900" w:type="dxa"/>
            <w:vAlign w:val="bottom"/>
            <w:tcBorders>
              <w:bottom w:val="single" w:sz="8" w:color="E6E6E6"/>
            </w:tcBorders>
          </w:tcPr>
          <w:p>
            <w:pPr>
              <w:spacing w:after="0"/>
              <w:rPr>
                <w:sz w:val="16"/>
                <w:szCs w:val="16"/>
                <w:color w:val="auto"/>
              </w:rPr>
            </w:pPr>
          </w:p>
        </w:tc>
        <w:tc>
          <w:tcPr>
            <w:tcW w:w="780" w:type="dxa"/>
            <w:vAlign w:val="bottom"/>
            <w:tcBorders>
              <w:bottom w:val="single" w:sz="8" w:color="E6E6E6"/>
            </w:tcBorders>
          </w:tcPr>
          <w:p>
            <w:pPr>
              <w:spacing w:after="0"/>
              <w:rPr>
                <w:sz w:val="16"/>
                <w:szCs w:val="16"/>
                <w:color w:val="auto"/>
              </w:rPr>
            </w:pPr>
          </w:p>
        </w:tc>
        <w:tc>
          <w:tcPr>
            <w:tcW w:w="740" w:type="dxa"/>
            <w:vAlign w:val="bottom"/>
            <w:tcBorders>
              <w:bottom w:val="single" w:sz="8" w:color="E6E6E6"/>
            </w:tcBorders>
          </w:tcPr>
          <w:p>
            <w:pPr>
              <w:spacing w:after="0"/>
              <w:rPr>
                <w:sz w:val="16"/>
                <w:szCs w:val="16"/>
                <w:color w:val="auto"/>
              </w:rPr>
            </w:pPr>
          </w:p>
        </w:tc>
        <w:tc>
          <w:tcPr>
            <w:tcW w:w="940" w:type="dxa"/>
            <w:vAlign w:val="bottom"/>
            <w:tcBorders>
              <w:bottom w:val="single" w:sz="8" w:color="E6E6E6"/>
            </w:tcBorders>
          </w:tcPr>
          <w:p>
            <w:pPr>
              <w:spacing w:after="0"/>
              <w:rPr>
                <w:sz w:val="16"/>
                <w:szCs w:val="16"/>
                <w:color w:val="auto"/>
              </w:rPr>
            </w:pPr>
          </w:p>
        </w:tc>
        <w:tc>
          <w:tcPr>
            <w:tcW w:w="860" w:type="dxa"/>
            <w:vAlign w:val="bottom"/>
            <w:tcBorders>
              <w:bottom w:val="single" w:sz="8" w:color="E6E6E6"/>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2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4"/>
                <w:szCs w:val="14"/>
                <w:b w:val="1"/>
                <w:bCs w:val="1"/>
                <w:color w:val="431C5B"/>
              </w:rPr>
              <w:t>Caroline</w:t>
            </w:r>
          </w:p>
        </w:tc>
        <w:tc>
          <w:tcPr>
            <w:tcW w:w="88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02/28/2025</w:t>
            </w:r>
          </w:p>
        </w:tc>
        <w:tc>
          <w:tcPr>
            <w:tcW w:w="220" w:type="dxa"/>
            <w:vAlign w:val="bottom"/>
            <w:tcBorders>
              <w:bottom w:val="single" w:sz="8" w:color="EDFAEC"/>
            </w:tcBorders>
            <w:shd w:val="clear" w:color="auto" w:fill="EDFAEC"/>
          </w:tcPr>
          <w:p>
            <w:pPr>
              <w:spacing w:after="0"/>
              <w:rPr>
                <w:sz w:val="17"/>
                <w:szCs w:val="17"/>
                <w:color w:val="auto"/>
              </w:rPr>
            </w:pPr>
          </w:p>
        </w:tc>
        <w:tc>
          <w:tcPr>
            <w:tcW w:w="840" w:type="dxa"/>
            <w:vAlign w:val="bottom"/>
            <w:tcBorders>
              <w:bottom w:val="single" w:sz="8" w:color="EDFAEC"/>
            </w:tcBorders>
            <w:shd w:val="clear" w:color="auto" w:fill="EDFAEC"/>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DFAEC"/>
            </w:tcBorders>
            <w:shd w:val="clear" w:color="auto" w:fill="EDFAEC"/>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DFAEC"/>
            </w:tcBorders>
            <w:gridSpan w:val="2"/>
            <w:shd w:val="clear" w:color="auto" w:fill="EDFAEC"/>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DFAEC"/>
            </w:tcBorders>
            <w:shd w:val="clear" w:color="auto" w:fill="EDFAEC"/>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DFAEC"/>
            </w:tcBorders>
            <w:shd w:val="clear" w:color="auto" w:fill="EDFAEC"/>
          </w:tcPr>
          <w:p>
            <w:pPr>
              <w:jc w:val="right"/>
              <w:ind w:right="50"/>
              <w:spacing w:after="0"/>
              <w:rPr>
                <w:sz w:val="20"/>
                <w:szCs w:val="20"/>
                <w:color w:val="auto"/>
              </w:rPr>
            </w:pPr>
            <w:r>
              <w:rPr>
                <w:rFonts w:ascii="Arial" w:cs="Arial" w:eastAsia="Arial" w:hAnsi="Arial"/>
                <w:sz w:val="14"/>
                <w:szCs w:val="14"/>
                <w:color w:val="auto"/>
              </w:rPr>
              <w:t>28,881</w:t>
            </w:r>
          </w:p>
        </w:tc>
        <w:tc>
          <w:tcPr>
            <w:tcW w:w="74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72,203</w:t>
            </w:r>
          </w:p>
        </w:tc>
        <w:tc>
          <w:tcPr>
            <w:tcW w:w="940" w:type="dxa"/>
            <w:vAlign w:val="bottom"/>
            <w:tcBorders>
              <w:bottom w:val="single" w:sz="8" w:color="EDFAEC"/>
            </w:tcBorders>
            <w:shd w:val="clear" w:color="auto" w:fill="EDFAEC"/>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DFAEC"/>
            </w:tcBorders>
            <w:shd w:val="clear" w:color="auto" w:fill="EDFAEC"/>
          </w:tcPr>
          <w:p>
            <w:pPr>
              <w:jc w:val="right"/>
              <w:spacing w:after="0"/>
              <w:rPr>
                <w:sz w:val="20"/>
                <w:szCs w:val="20"/>
                <w:color w:val="auto"/>
              </w:rPr>
            </w:pPr>
            <w:r>
              <w:rPr>
                <w:rFonts w:ascii="Arial" w:cs="Arial" w:eastAsia="Arial" w:hAnsi="Arial"/>
                <w:sz w:val="14"/>
                <w:szCs w:val="14"/>
                <w:color w:val="auto"/>
              </w:rPr>
              <w:t>2,040,154</w:t>
            </w:r>
          </w:p>
        </w:tc>
        <w:tc>
          <w:tcPr>
            <w:tcW w:w="0" w:type="dxa"/>
            <w:vAlign w:val="bottom"/>
          </w:tcPr>
          <w:p>
            <w:pPr>
              <w:spacing w:after="0"/>
              <w:rPr>
                <w:sz w:val="1"/>
                <w:szCs w:val="1"/>
                <w:color w:val="auto"/>
              </w:rPr>
            </w:pPr>
          </w:p>
        </w:tc>
      </w:tr>
      <w:tr>
        <w:trPr>
          <w:trHeight w:val="192"/>
        </w:trPr>
        <w:tc>
          <w:tcPr>
            <w:tcW w:w="920" w:type="dxa"/>
            <w:vAlign w:val="bottom"/>
            <w:tcBorders>
              <w:top w:val="single" w:sz="8" w:color="EDFAEC"/>
              <w:bottom w:val="single" w:sz="8" w:color="EDFAEC"/>
            </w:tcBorders>
            <w:shd w:val="clear" w:color="auto" w:fill="EDFAEC"/>
          </w:tcPr>
          <w:p>
            <w:pPr>
              <w:ind w:left="80"/>
              <w:spacing w:after="0" w:line="153" w:lineRule="exact"/>
              <w:rPr>
                <w:sz w:val="20"/>
                <w:szCs w:val="20"/>
                <w:color w:val="auto"/>
              </w:rPr>
            </w:pPr>
            <w:r>
              <w:rPr>
                <w:rFonts w:ascii="Arial" w:cs="Arial" w:eastAsia="Arial" w:hAnsi="Arial"/>
                <w:sz w:val="14"/>
                <w:szCs w:val="14"/>
                <w:b w:val="1"/>
                <w:bCs w:val="1"/>
                <w:color w:val="431C5B"/>
              </w:rPr>
              <w:t>Tsai</w:t>
            </w:r>
          </w:p>
        </w:tc>
        <w:tc>
          <w:tcPr>
            <w:tcW w:w="880" w:type="dxa"/>
            <w:vAlign w:val="bottom"/>
            <w:tcBorders>
              <w:top w:val="single" w:sz="8" w:color="E6E6E6"/>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02/28/2025</w:t>
            </w:r>
          </w:p>
        </w:tc>
        <w:tc>
          <w:tcPr>
            <w:tcW w:w="220" w:type="dxa"/>
            <w:vAlign w:val="bottom"/>
            <w:tcBorders>
              <w:top w:val="single" w:sz="8" w:color="E6E6E6"/>
              <w:bottom w:val="single" w:sz="8" w:color="E6E6E6"/>
            </w:tcBorders>
            <w:shd w:val="clear" w:color="auto" w:fill="EDFAEC"/>
          </w:tcPr>
          <w:p>
            <w:pPr>
              <w:spacing w:after="0"/>
              <w:rPr>
                <w:sz w:val="16"/>
                <w:szCs w:val="16"/>
                <w:color w:val="auto"/>
              </w:rPr>
            </w:pPr>
          </w:p>
        </w:tc>
        <w:tc>
          <w:tcPr>
            <w:tcW w:w="840" w:type="dxa"/>
            <w:vAlign w:val="bottom"/>
            <w:tcBorders>
              <w:top w:val="single" w:sz="8" w:color="E6E6E6"/>
              <w:bottom w:val="single" w:sz="8" w:color="E6E6E6"/>
            </w:tcBorders>
            <w:shd w:val="clear" w:color="auto" w:fill="EDFAEC"/>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E6E6E6"/>
              <w:bottom w:val="single" w:sz="8" w:color="E6E6E6"/>
            </w:tcBorders>
            <w:shd w:val="clear" w:color="auto" w:fill="EDFAEC"/>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E6E6E6"/>
              <w:bottom w:val="single" w:sz="8" w:color="E6E6E6"/>
            </w:tcBorders>
            <w:gridSpan w:val="2"/>
            <w:shd w:val="clear" w:color="auto" w:fill="EDFAEC"/>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E6E6E6"/>
              <w:bottom w:val="single" w:sz="8" w:color="E6E6E6"/>
            </w:tcBorders>
            <w:shd w:val="clear" w:color="auto" w:fill="EDFAEC"/>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E6E6E6"/>
              <w:bottom w:val="single" w:sz="8" w:color="E6E6E6"/>
            </w:tcBorders>
            <w:shd w:val="clear" w:color="auto" w:fill="EDFAEC"/>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E6E6E6"/>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E6E6E6"/>
              <w:bottom w:val="single" w:sz="8" w:color="E6E6E6"/>
            </w:tcBorders>
            <w:shd w:val="clear" w:color="auto" w:fill="EDFAEC"/>
          </w:tcPr>
          <w:p>
            <w:pPr>
              <w:jc w:val="right"/>
              <w:ind w:right="31"/>
              <w:spacing w:after="0"/>
              <w:rPr>
                <w:sz w:val="20"/>
                <w:szCs w:val="20"/>
                <w:color w:val="auto"/>
              </w:rPr>
            </w:pPr>
            <w:r>
              <w:rPr>
                <w:rFonts w:ascii="Arial" w:cs="Arial" w:eastAsia="Arial" w:hAnsi="Arial"/>
                <w:sz w:val="14"/>
                <w:szCs w:val="14"/>
                <w:color w:val="auto"/>
              </w:rPr>
              <w:t>28,881</w:t>
            </w:r>
          </w:p>
        </w:tc>
        <w:tc>
          <w:tcPr>
            <w:tcW w:w="860" w:type="dxa"/>
            <w:vAlign w:val="bottom"/>
            <w:tcBorders>
              <w:top w:val="single" w:sz="8" w:color="E6E6E6"/>
              <w:bottom w:val="single" w:sz="8" w:color="E6E6E6"/>
            </w:tcBorders>
            <w:shd w:val="clear" w:color="auto" w:fill="EDFAEC"/>
          </w:tcPr>
          <w:p>
            <w:pPr>
              <w:jc w:val="right"/>
              <w:spacing w:after="0"/>
              <w:rPr>
                <w:sz w:val="20"/>
                <w:szCs w:val="20"/>
                <w:color w:val="auto"/>
              </w:rPr>
            </w:pPr>
            <w:r>
              <w:rPr>
                <w:rFonts w:ascii="Arial" w:cs="Arial" w:eastAsia="Arial" w:hAnsi="Arial"/>
                <w:sz w:val="14"/>
                <w:szCs w:val="14"/>
                <w:color w:val="auto"/>
              </w:rPr>
              <w:t>2,000,009</w:t>
            </w:r>
          </w:p>
        </w:tc>
        <w:tc>
          <w:tcPr>
            <w:tcW w:w="0" w:type="dxa"/>
            <w:vAlign w:val="bottom"/>
          </w:tcPr>
          <w:p>
            <w:pPr>
              <w:spacing w:after="0"/>
              <w:rPr>
                <w:sz w:val="1"/>
                <w:szCs w:val="1"/>
                <w:color w:val="auto"/>
              </w:rPr>
            </w:pPr>
          </w:p>
        </w:tc>
      </w:tr>
      <w:tr>
        <w:trPr>
          <w:trHeight w:val="177"/>
        </w:trPr>
        <w:tc>
          <w:tcPr>
            <w:tcW w:w="920" w:type="dxa"/>
            <w:vAlign w:val="bottom"/>
            <w:shd w:val="clear" w:color="auto" w:fill="EDFAEC"/>
          </w:tcPr>
          <w:p>
            <w:pPr>
              <w:spacing w:after="0"/>
              <w:rPr>
                <w:sz w:val="15"/>
                <w:szCs w:val="15"/>
                <w:color w:val="auto"/>
              </w:rPr>
            </w:pPr>
          </w:p>
        </w:tc>
        <w:tc>
          <w:tcPr>
            <w:tcW w:w="880" w:type="dxa"/>
            <w:vAlign w:val="bottom"/>
            <w:shd w:val="clear" w:color="auto" w:fill="EDFAEC"/>
          </w:tcPr>
          <w:p>
            <w:pPr>
              <w:jc w:val="right"/>
              <w:spacing w:after="0"/>
              <w:rPr>
                <w:sz w:val="20"/>
                <w:szCs w:val="20"/>
                <w:color w:val="auto"/>
              </w:rPr>
            </w:pPr>
            <w:r>
              <w:rPr>
                <w:rFonts w:ascii="Arial" w:cs="Arial" w:eastAsia="Arial" w:hAnsi="Arial"/>
                <w:sz w:val="14"/>
                <w:szCs w:val="14"/>
                <w:color w:val="auto"/>
              </w:rPr>
              <w:t>Annual</w:t>
            </w:r>
          </w:p>
        </w:tc>
        <w:tc>
          <w:tcPr>
            <w:tcW w:w="220" w:type="dxa"/>
            <w:vAlign w:val="bottom"/>
            <w:shd w:val="clear" w:color="auto" w:fill="EDFAEC"/>
          </w:tcPr>
          <w:p>
            <w:pPr>
              <w:spacing w:after="0"/>
              <w:rPr>
                <w:sz w:val="15"/>
                <w:szCs w:val="15"/>
                <w:color w:val="auto"/>
              </w:rPr>
            </w:pPr>
          </w:p>
        </w:tc>
        <w:tc>
          <w:tcPr>
            <w:tcW w:w="840" w:type="dxa"/>
            <w:vAlign w:val="bottom"/>
            <w:shd w:val="clear" w:color="auto" w:fill="EDFAEC"/>
          </w:tcPr>
          <w:p>
            <w:pPr>
              <w:jc w:val="right"/>
              <w:ind w:right="11"/>
              <w:spacing w:after="0"/>
              <w:rPr>
                <w:sz w:val="20"/>
                <w:szCs w:val="20"/>
                <w:color w:val="auto"/>
              </w:rPr>
            </w:pPr>
            <w:r>
              <w:rPr>
                <w:rFonts w:ascii="Arial" w:cs="Arial" w:eastAsia="Arial" w:hAnsi="Arial"/>
                <w:sz w:val="14"/>
                <w:szCs w:val="14"/>
                <w:color w:val="auto"/>
              </w:rPr>
              <w:t>49,000</w:t>
            </w:r>
          </w:p>
        </w:tc>
        <w:tc>
          <w:tcPr>
            <w:tcW w:w="820" w:type="dxa"/>
            <w:vAlign w:val="bottom"/>
            <w:shd w:val="clear" w:color="auto" w:fill="EDFAEC"/>
          </w:tcPr>
          <w:p>
            <w:pPr>
              <w:jc w:val="right"/>
              <w:ind w:right="30"/>
              <w:spacing w:after="0"/>
              <w:rPr>
                <w:sz w:val="20"/>
                <w:szCs w:val="20"/>
                <w:color w:val="auto"/>
              </w:rPr>
            </w:pPr>
            <w:r>
              <w:rPr>
                <w:rFonts w:ascii="Arial" w:cs="Arial" w:eastAsia="Arial" w:hAnsi="Arial"/>
                <w:sz w:val="14"/>
                <w:szCs w:val="14"/>
                <w:color w:val="auto"/>
              </w:rPr>
              <w:t>980,000</w:t>
            </w:r>
          </w:p>
        </w:tc>
        <w:tc>
          <w:tcPr>
            <w:tcW w:w="780" w:type="dxa"/>
            <w:vAlign w:val="bottom"/>
            <w:shd w:val="clear" w:color="auto" w:fill="EDFAEC"/>
          </w:tcPr>
          <w:p>
            <w:pPr>
              <w:jc w:val="right"/>
              <w:spacing w:after="0"/>
              <w:rPr>
                <w:sz w:val="20"/>
                <w:szCs w:val="20"/>
                <w:color w:val="auto"/>
              </w:rPr>
            </w:pPr>
            <w:r>
              <w:rPr>
                <w:rFonts w:ascii="Arial" w:cs="Arial" w:eastAsia="Arial" w:hAnsi="Arial"/>
                <w:sz w:val="14"/>
                <w:szCs w:val="14"/>
                <w:color w:val="auto"/>
              </w:rPr>
              <w:t>1,960,000</w:t>
            </w:r>
          </w:p>
        </w:tc>
        <w:tc>
          <w:tcPr>
            <w:tcW w:w="80" w:type="dxa"/>
            <w:vAlign w:val="bottom"/>
            <w:shd w:val="clear" w:color="auto" w:fill="EDFAEC"/>
          </w:tcPr>
          <w:p>
            <w:pPr>
              <w:spacing w:after="0"/>
              <w:rPr>
                <w:sz w:val="15"/>
                <w:szCs w:val="15"/>
                <w:color w:val="auto"/>
              </w:rPr>
            </w:pPr>
          </w:p>
        </w:tc>
        <w:tc>
          <w:tcPr>
            <w:tcW w:w="900" w:type="dxa"/>
            <w:vAlign w:val="bottom"/>
            <w:shd w:val="clear" w:color="auto" w:fill="EDFAEC"/>
          </w:tcPr>
          <w:p>
            <w:pPr>
              <w:jc w:val="center"/>
              <w:ind w:left="431"/>
              <w:spacing w:after="0"/>
              <w:rPr>
                <w:sz w:val="20"/>
                <w:szCs w:val="20"/>
                <w:color w:val="auto"/>
              </w:rPr>
            </w:pPr>
            <w:r>
              <w:rPr>
                <w:rFonts w:ascii="Arial" w:cs="Arial" w:eastAsia="Arial" w:hAnsi="Arial"/>
                <w:sz w:val="14"/>
                <w:szCs w:val="14"/>
                <w:color w:val="auto"/>
              </w:rPr>
              <w:t>–</w:t>
            </w:r>
          </w:p>
        </w:tc>
        <w:tc>
          <w:tcPr>
            <w:tcW w:w="780" w:type="dxa"/>
            <w:vAlign w:val="bottom"/>
            <w:shd w:val="clear" w:color="auto" w:fill="EDFAEC"/>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DFAEC"/>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shd w:val="clear" w:color="auto" w:fill="EDFA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920" w:type="dxa"/>
            <w:vAlign w:val="bottom"/>
            <w:tcBorders>
              <w:bottom w:val="single" w:sz="8" w:color="431C5B"/>
            </w:tcBorders>
            <w:shd w:val="clear" w:color="auto" w:fill="EDFAEC"/>
          </w:tcPr>
          <w:p>
            <w:pPr>
              <w:spacing w:after="0"/>
              <w:rPr>
                <w:sz w:val="16"/>
                <w:szCs w:val="16"/>
                <w:color w:val="auto"/>
              </w:rPr>
            </w:pPr>
          </w:p>
        </w:tc>
        <w:tc>
          <w:tcPr>
            <w:tcW w:w="88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4"/>
                <w:szCs w:val="14"/>
                <w:color w:val="auto"/>
              </w:rPr>
              <w:t>Incentive</w:t>
            </w:r>
          </w:p>
        </w:tc>
        <w:tc>
          <w:tcPr>
            <w:tcW w:w="220" w:type="dxa"/>
            <w:vAlign w:val="bottom"/>
            <w:tcBorders>
              <w:bottom w:val="single" w:sz="8" w:color="431C5B"/>
            </w:tcBorders>
            <w:shd w:val="clear" w:color="auto" w:fill="EDFAEC"/>
          </w:tcPr>
          <w:p>
            <w:pPr>
              <w:spacing w:after="0"/>
              <w:rPr>
                <w:sz w:val="16"/>
                <w:szCs w:val="16"/>
                <w:color w:val="auto"/>
              </w:rPr>
            </w:pPr>
          </w:p>
        </w:tc>
        <w:tc>
          <w:tcPr>
            <w:tcW w:w="840" w:type="dxa"/>
            <w:vAlign w:val="bottom"/>
            <w:tcBorders>
              <w:bottom w:val="single" w:sz="8" w:color="431C5B"/>
            </w:tcBorders>
            <w:shd w:val="clear" w:color="auto" w:fill="EDFAEC"/>
          </w:tcPr>
          <w:p>
            <w:pPr>
              <w:spacing w:after="0"/>
              <w:rPr>
                <w:sz w:val="16"/>
                <w:szCs w:val="16"/>
                <w:color w:val="auto"/>
              </w:rPr>
            </w:pPr>
          </w:p>
        </w:tc>
        <w:tc>
          <w:tcPr>
            <w:tcW w:w="820" w:type="dxa"/>
            <w:vAlign w:val="bottom"/>
            <w:tcBorders>
              <w:bottom w:val="single" w:sz="8" w:color="431C5B"/>
            </w:tcBorders>
            <w:shd w:val="clear" w:color="auto" w:fill="EDFAEC"/>
          </w:tcPr>
          <w:p>
            <w:pPr>
              <w:spacing w:after="0"/>
              <w:rPr>
                <w:sz w:val="16"/>
                <w:szCs w:val="16"/>
                <w:color w:val="auto"/>
              </w:rPr>
            </w:pPr>
          </w:p>
        </w:tc>
        <w:tc>
          <w:tcPr>
            <w:tcW w:w="780" w:type="dxa"/>
            <w:vAlign w:val="bottom"/>
            <w:tcBorders>
              <w:bottom w:val="single" w:sz="8" w:color="431C5B"/>
            </w:tcBorders>
            <w:shd w:val="clear" w:color="auto" w:fill="EDFAEC"/>
          </w:tcPr>
          <w:p>
            <w:pPr>
              <w:spacing w:after="0"/>
              <w:rPr>
                <w:sz w:val="16"/>
                <w:szCs w:val="16"/>
                <w:color w:val="auto"/>
              </w:rPr>
            </w:pPr>
          </w:p>
        </w:tc>
        <w:tc>
          <w:tcPr>
            <w:tcW w:w="80" w:type="dxa"/>
            <w:vAlign w:val="bottom"/>
            <w:tcBorders>
              <w:bottom w:val="single" w:sz="8" w:color="431C5B"/>
            </w:tcBorders>
            <w:shd w:val="clear" w:color="auto" w:fill="EDFAEC"/>
          </w:tcPr>
          <w:p>
            <w:pPr>
              <w:spacing w:after="0"/>
              <w:rPr>
                <w:sz w:val="16"/>
                <w:szCs w:val="16"/>
                <w:color w:val="auto"/>
              </w:rPr>
            </w:pPr>
          </w:p>
        </w:tc>
        <w:tc>
          <w:tcPr>
            <w:tcW w:w="900" w:type="dxa"/>
            <w:vAlign w:val="bottom"/>
            <w:tcBorders>
              <w:bottom w:val="single" w:sz="8" w:color="431C5B"/>
            </w:tcBorders>
            <w:shd w:val="clear" w:color="auto" w:fill="EDFAEC"/>
          </w:tcPr>
          <w:p>
            <w:pPr>
              <w:spacing w:after="0"/>
              <w:rPr>
                <w:sz w:val="16"/>
                <w:szCs w:val="16"/>
                <w:color w:val="auto"/>
              </w:rPr>
            </w:pPr>
          </w:p>
        </w:tc>
        <w:tc>
          <w:tcPr>
            <w:tcW w:w="780" w:type="dxa"/>
            <w:vAlign w:val="bottom"/>
            <w:tcBorders>
              <w:bottom w:val="single" w:sz="8" w:color="431C5B"/>
            </w:tcBorders>
            <w:shd w:val="clear" w:color="auto" w:fill="EDFAEC"/>
          </w:tcPr>
          <w:p>
            <w:pPr>
              <w:spacing w:after="0"/>
              <w:rPr>
                <w:sz w:val="16"/>
                <w:szCs w:val="16"/>
                <w:color w:val="auto"/>
              </w:rPr>
            </w:pPr>
          </w:p>
        </w:tc>
        <w:tc>
          <w:tcPr>
            <w:tcW w:w="740" w:type="dxa"/>
            <w:vAlign w:val="bottom"/>
            <w:tcBorders>
              <w:bottom w:val="single" w:sz="8" w:color="431C5B"/>
            </w:tcBorders>
            <w:shd w:val="clear" w:color="auto" w:fill="EDFAEC"/>
          </w:tcPr>
          <w:p>
            <w:pPr>
              <w:spacing w:after="0"/>
              <w:rPr>
                <w:sz w:val="16"/>
                <w:szCs w:val="16"/>
                <w:color w:val="auto"/>
              </w:rPr>
            </w:pPr>
          </w:p>
        </w:tc>
        <w:tc>
          <w:tcPr>
            <w:tcW w:w="940" w:type="dxa"/>
            <w:vAlign w:val="bottom"/>
            <w:tcBorders>
              <w:bottom w:val="single" w:sz="8" w:color="431C5B"/>
            </w:tcBorders>
            <w:shd w:val="clear" w:color="auto" w:fill="EDFAEC"/>
          </w:tcPr>
          <w:p>
            <w:pPr>
              <w:spacing w:after="0"/>
              <w:rPr>
                <w:sz w:val="16"/>
                <w:szCs w:val="16"/>
                <w:color w:val="auto"/>
              </w:rPr>
            </w:pPr>
          </w:p>
        </w:tc>
        <w:tc>
          <w:tcPr>
            <w:tcW w:w="860" w:type="dxa"/>
            <w:vAlign w:val="bottom"/>
            <w:tcBorders>
              <w:bottom w:val="single" w:sz="8" w:color="431C5B"/>
            </w:tcBorders>
            <w:shd w:val="clear" w:color="auto" w:fill="EDFAEC"/>
          </w:tcPr>
          <w:p>
            <w:pPr>
              <w:spacing w:after="0"/>
              <w:rPr>
                <w:sz w:val="16"/>
                <w:szCs w:val="16"/>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80" w:hanging="250"/>
        <w:spacing w:after="0"/>
        <w:tabs>
          <w:tab w:leader="none" w:pos="380" w:val="left"/>
        </w:tabs>
        <w:numPr>
          <w:ilvl w:val="0"/>
          <w:numId w:val="100"/>
        </w:numPr>
        <w:rPr>
          <w:rFonts w:ascii="Arial" w:cs="Arial" w:eastAsia="Arial" w:hAnsi="Arial"/>
          <w:sz w:val="16"/>
          <w:szCs w:val="16"/>
          <w:color w:val="auto"/>
          <w:vertAlign w:val="superscript"/>
        </w:rPr>
      </w:pPr>
      <w:r>
        <w:rPr>
          <w:rFonts w:ascii="Arial" w:cs="Arial" w:eastAsia="Arial" w:hAnsi="Arial"/>
          <w:sz w:val="13"/>
          <w:szCs w:val="13"/>
          <w:color w:val="auto"/>
        </w:rPr>
        <w:t>Awards were approved by the Compensation Committee on January 29, 2025.</w:t>
      </w:r>
    </w:p>
    <w:p>
      <w:pPr>
        <w:spacing w:after="0" w:line="63" w:lineRule="exact"/>
        <w:rPr>
          <w:rFonts w:ascii="Arial" w:cs="Arial" w:eastAsia="Arial" w:hAnsi="Arial"/>
          <w:sz w:val="16"/>
          <w:szCs w:val="16"/>
          <w:color w:val="auto"/>
          <w:vertAlign w:val="superscript"/>
        </w:rPr>
      </w:pPr>
    </w:p>
    <w:p>
      <w:pPr>
        <w:ind w:left="380" w:right="219" w:hanging="250"/>
        <w:spacing w:after="0" w:line="245" w:lineRule="auto"/>
        <w:tabs>
          <w:tab w:leader="none" w:pos="380" w:val="left"/>
        </w:tabs>
        <w:numPr>
          <w:ilvl w:val="0"/>
          <w:numId w:val="100"/>
        </w:numPr>
        <w:rPr>
          <w:rFonts w:ascii="Arial" w:cs="Arial" w:eastAsia="Arial" w:hAnsi="Arial"/>
          <w:sz w:val="16"/>
          <w:szCs w:val="16"/>
          <w:color w:val="auto"/>
          <w:vertAlign w:val="superscript"/>
        </w:rPr>
      </w:pPr>
      <w:r>
        <w:rPr>
          <w:rFonts w:ascii="Arial" w:cs="Arial" w:eastAsia="Arial" w:hAnsi="Arial"/>
          <w:sz w:val="13"/>
          <w:szCs w:val="13"/>
          <w:color w:val="auto"/>
        </w:rPr>
        <w:t>With respect to the annual incentives, the amounts shown in column (c) reflect the minimum payment level, which is 5% of the target amount shown in column (d) further weighted based on plan metrics, and the amounts shown in column (e) represent the maximum payout, which is 200% of the amount in column (d).</w:t>
      </w:r>
    </w:p>
    <w:p>
      <w:pPr>
        <w:spacing w:after="0" w:line="46" w:lineRule="exact"/>
        <w:rPr>
          <w:rFonts w:ascii="Arial" w:cs="Arial" w:eastAsia="Arial" w:hAnsi="Arial"/>
          <w:sz w:val="16"/>
          <w:szCs w:val="16"/>
          <w:color w:val="auto"/>
          <w:vertAlign w:val="superscript"/>
        </w:rPr>
      </w:pPr>
    </w:p>
    <w:p>
      <w:pPr>
        <w:ind w:left="380" w:right="159" w:hanging="250"/>
        <w:spacing w:after="0" w:line="257" w:lineRule="auto"/>
        <w:tabs>
          <w:tab w:leader="none" w:pos="380" w:val="left"/>
        </w:tabs>
        <w:numPr>
          <w:ilvl w:val="0"/>
          <w:numId w:val="100"/>
        </w:numPr>
        <w:rPr>
          <w:rFonts w:ascii="Arial" w:cs="Arial" w:eastAsia="Arial" w:hAnsi="Arial"/>
          <w:sz w:val="16"/>
          <w:szCs w:val="16"/>
          <w:color w:val="auto"/>
          <w:vertAlign w:val="superscript"/>
        </w:rPr>
      </w:pPr>
      <w:r>
        <w:rPr>
          <w:rFonts w:ascii="Arial" w:cs="Arial" w:eastAsia="Arial" w:hAnsi="Arial"/>
          <w:sz w:val="13"/>
          <w:szCs w:val="13"/>
          <w:color w:val="auto"/>
        </w:rPr>
        <w:t>The amounts shown in column (g) reflect the target amount 2025 PSUs (grant date fair value of 102% of the closing stock price of $69.25 per share), the amounts shown in column (f) reflect the threshold number of PSUs as adjusted with a -25% TSR modifier, which is 0% of the target amount shown in column (g), and the amounts shown in column (h) reflect the maximum payout as adjusted with a +25% TSR modifier, which is 250% of the target amount shown in column (g). Under the February 28, 2025 PSU awards, the earned shares vest in full after three years based on the Company's annual Adjusted Revenue Growth and annual Adjusted EPS Growth as modified based on the Company's relative TSR performance against the S&amp;P 500 Index at the end of the three years.</w:t>
      </w:r>
    </w:p>
    <w:p>
      <w:pPr>
        <w:spacing w:after="0" w:line="42" w:lineRule="exact"/>
        <w:rPr>
          <w:rFonts w:ascii="Arial" w:cs="Arial" w:eastAsia="Arial" w:hAnsi="Arial"/>
          <w:sz w:val="16"/>
          <w:szCs w:val="16"/>
          <w:color w:val="auto"/>
          <w:vertAlign w:val="superscript"/>
        </w:rPr>
      </w:pPr>
    </w:p>
    <w:p>
      <w:pPr>
        <w:ind w:left="380" w:right="639" w:hanging="250"/>
        <w:spacing w:after="0" w:line="236" w:lineRule="auto"/>
        <w:tabs>
          <w:tab w:leader="none" w:pos="380" w:val="left"/>
        </w:tabs>
        <w:numPr>
          <w:ilvl w:val="0"/>
          <w:numId w:val="100"/>
        </w:numPr>
        <w:rPr>
          <w:rFonts w:ascii="Arial" w:cs="Arial" w:eastAsia="Arial" w:hAnsi="Arial"/>
          <w:sz w:val="16"/>
          <w:szCs w:val="16"/>
          <w:color w:val="auto"/>
          <w:vertAlign w:val="superscript"/>
        </w:rPr>
      </w:pPr>
      <w:r>
        <w:rPr>
          <w:rFonts w:ascii="Arial" w:cs="Arial" w:eastAsia="Arial" w:hAnsi="Arial"/>
          <w:sz w:val="13"/>
          <w:szCs w:val="13"/>
          <w:color w:val="auto"/>
        </w:rPr>
        <w:t>The amounts shown in column (i) reflect the number of time-based restricted stock units granted to each NEO under the 2022 Omnibus Plan on February 28, 2025 (grant date fair value is $69.25 per share). The shares vest ratably over three years.</w:t>
      </w:r>
    </w:p>
    <w:p>
      <w:pPr>
        <w:spacing w:after="0" w:line="32" w:lineRule="exact"/>
        <w:rPr>
          <w:rFonts w:ascii="Arial" w:cs="Arial" w:eastAsia="Arial" w:hAnsi="Arial"/>
          <w:sz w:val="16"/>
          <w:szCs w:val="16"/>
          <w:color w:val="auto"/>
          <w:vertAlign w:val="superscript"/>
        </w:rPr>
      </w:pPr>
    </w:p>
    <w:p>
      <w:pPr>
        <w:ind w:left="380" w:hanging="250"/>
        <w:spacing w:after="0"/>
        <w:tabs>
          <w:tab w:leader="none" w:pos="380" w:val="left"/>
        </w:tabs>
        <w:numPr>
          <w:ilvl w:val="0"/>
          <w:numId w:val="100"/>
        </w:numPr>
        <w:rPr>
          <w:rFonts w:ascii="Arial" w:cs="Arial" w:eastAsia="Arial" w:hAnsi="Arial"/>
          <w:sz w:val="16"/>
          <w:szCs w:val="16"/>
          <w:color w:val="auto"/>
          <w:vertAlign w:val="superscript"/>
        </w:rPr>
      </w:pPr>
      <w:r>
        <w:rPr>
          <w:rFonts w:ascii="Arial" w:cs="Arial" w:eastAsia="Arial" w:hAnsi="Arial"/>
          <w:sz w:val="13"/>
          <w:szCs w:val="13"/>
          <w:color w:val="auto"/>
        </w:rPr>
        <w:t>The amounts shown in column (m) represent the aggregate of the grant date fair value of each award computed in accordance with FASB ASC</w:t>
      </w:r>
    </w:p>
    <w:p>
      <w:pPr>
        <w:spacing w:after="0" w:line="8" w:lineRule="exact"/>
        <w:rPr>
          <w:rFonts w:ascii="Arial" w:cs="Arial" w:eastAsia="Arial" w:hAnsi="Arial"/>
          <w:sz w:val="16"/>
          <w:szCs w:val="16"/>
          <w:color w:val="auto"/>
          <w:vertAlign w:val="superscript"/>
        </w:rPr>
      </w:pPr>
    </w:p>
    <w:p>
      <w:pPr>
        <w:ind w:left="380" w:right="139"/>
        <w:spacing w:after="0" w:line="269" w:lineRule="auto"/>
        <w:rPr>
          <w:rFonts w:ascii="Arial" w:cs="Arial" w:eastAsia="Arial" w:hAnsi="Arial"/>
          <w:sz w:val="16"/>
          <w:szCs w:val="16"/>
          <w:color w:val="auto"/>
          <w:vertAlign w:val="superscript"/>
        </w:rPr>
      </w:pPr>
      <w:r>
        <w:rPr>
          <w:rFonts w:ascii="Arial" w:cs="Arial" w:eastAsia="Arial" w:hAnsi="Arial"/>
          <w:sz w:val="13"/>
          <w:szCs w:val="13"/>
          <w:color w:val="auto"/>
        </w:rPr>
        <w:t>Topic 718, assuming no forfeitures, and are based upon the following per share grant date fair values: February 28, 2025 performance stock units (102% of the closing stock price of $69.25 per share) and February 28, 2025 time-based restricted stock units ($69.25 per share). For the awards which are subject to performance-based conditions as described in the footnotes above, the amounts shown in column (m) reflect estimates of the probable outcome of the performance conditions judged as of the time of grant.</w:t>
      </w:r>
    </w:p>
    <w:p>
      <w:pPr>
        <w:spacing w:after="0" w:line="15" w:lineRule="exact"/>
        <w:rPr>
          <w:rFonts w:ascii="Arial" w:cs="Arial" w:eastAsia="Arial" w:hAnsi="Arial"/>
          <w:sz w:val="16"/>
          <w:szCs w:val="16"/>
          <w:color w:val="auto"/>
          <w:vertAlign w:val="superscript"/>
        </w:rPr>
      </w:pPr>
    </w:p>
    <w:p>
      <w:pPr>
        <w:ind w:left="380" w:hanging="250"/>
        <w:spacing w:after="0"/>
        <w:tabs>
          <w:tab w:leader="none" w:pos="380" w:val="left"/>
        </w:tabs>
        <w:numPr>
          <w:ilvl w:val="0"/>
          <w:numId w:val="100"/>
        </w:numPr>
        <w:rPr>
          <w:rFonts w:ascii="Arial" w:cs="Arial" w:eastAsia="Arial" w:hAnsi="Arial"/>
          <w:sz w:val="16"/>
          <w:szCs w:val="16"/>
          <w:color w:val="auto"/>
          <w:vertAlign w:val="superscript"/>
        </w:rPr>
      </w:pPr>
      <w:r>
        <w:rPr>
          <w:rFonts w:ascii="Arial" w:cs="Arial" w:eastAsia="Arial" w:hAnsi="Arial"/>
          <w:sz w:val="13"/>
          <w:szCs w:val="13"/>
          <w:color w:val="auto"/>
        </w:rPr>
        <w:t>Due to his resignation, Mr. Bhathena forfeited the PSUs and restricted stock units reflected in this table.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73</w:t>
      </w:r>
    </w:p>
    <w:p>
      <w:pPr>
        <w:sectPr>
          <w:pgSz w:w="11900" w:h="16838" w:orient="portrait"/>
          <w:cols w:equalWidth="0" w:num="1">
            <w:col w:w="9019"/>
          </w:cols>
          <w:pgMar w:left="1440" w:top="657" w:right="1440" w:bottom="1440" w:gutter="0" w:footer="0" w:header="0"/>
          <w:type w:val="continuous"/>
        </w:sectPr>
      </w:pPr>
    </w:p>
    <w:bookmarkStart w:id="76" w:name="page77"/>
    <w:bookmarkEnd w:id="76"/>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385" w:lineRule="exact"/>
        <w:rPr>
          <w:sz w:val="20"/>
          <w:szCs w:val="20"/>
          <w:color w:val="auto"/>
        </w:rPr>
      </w:pPr>
    </w:p>
    <w:p>
      <w:pPr>
        <w:ind w:left="140" w:right="319"/>
        <w:spacing w:after="0" w:line="307" w:lineRule="auto"/>
        <w:rPr>
          <w:sz w:val="20"/>
          <w:szCs w:val="20"/>
          <w:color w:val="auto"/>
        </w:rPr>
      </w:pPr>
      <w:r>
        <w:rPr>
          <w:rFonts w:ascii="Arial" w:cs="Arial" w:eastAsia="Arial" w:hAnsi="Arial"/>
          <w:sz w:val="32"/>
          <w:szCs w:val="32"/>
          <w:b w:val="1"/>
          <w:bCs w:val="1"/>
          <w:color w:val="431C5B"/>
        </w:rPr>
        <w:t>Narrative Discussion for Summary Compensation Table and Grants of Plan-Based Awards Table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Employment Agreements</w:t>
      </w:r>
    </w:p>
    <w:p>
      <w:pPr>
        <w:spacing w:after="0" w:line="87" w:lineRule="exact"/>
        <w:rPr>
          <w:sz w:val="20"/>
          <w:szCs w:val="20"/>
          <w:color w:val="auto"/>
        </w:rPr>
      </w:pPr>
    </w:p>
    <w:p>
      <w:pPr>
        <w:ind w:left="140" w:right="239"/>
        <w:spacing w:after="0" w:line="282" w:lineRule="auto"/>
        <w:rPr>
          <w:sz w:val="20"/>
          <w:szCs w:val="20"/>
          <w:color w:val="auto"/>
        </w:rPr>
      </w:pPr>
      <w:r>
        <w:rPr>
          <w:rFonts w:ascii="Arial" w:cs="Arial" w:eastAsia="Arial" w:hAnsi="Arial"/>
          <w:sz w:val="16"/>
          <w:szCs w:val="16"/>
          <w:color w:val="auto"/>
        </w:rPr>
        <w:t>We have entered into employment agreements with a limited number of our senior executives, including our NEOs, with the exception of Firdaus Bhathena who was, and Robert Toohey who is, each a Participant under our Severance Plan. Additional information regarding post-termination benefits provided under these employment agreements can be found in the “Potential Payments Upon Termination or Change in Control” section. The following descriptions are based on the terms of the agreements as of December 31, 2025.</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431C5B"/>
        </w:rPr>
        <w:t>Stephanie L. Ferris</w:t>
      </w:r>
    </w:p>
    <w:p>
      <w:pPr>
        <w:spacing w:after="0" w:line="77" w:lineRule="exact"/>
        <w:rPr>
          <w:sz w:val="20"/>
          <w:szCs w:val="20"/>
          <w:color w:val="auto"/>
        </w:rPr>
      </w:pPr>
    </w:p>
    <w:p>
      <w:pPr>
        <w:ind w:left="140" w:right="179"/>
        <w:spacing w:after="0" w:line="272" w:lineRule="auto"/>
        <w:rPr>
          <w:sz w:val="20"/>
          <w:szCs w:val="20"/>
          <w:color w:val="auto"/>
        </w:rPr>
      </w:pPr>
      <w:r>
        <w:rPr>
          <w:rFonts w:ascii="Arial" w:cs="Arial" w:eastAsia="Arial" w:hAnsi="Arial"/>
          <w:sz w:val="16"/>
          <w:szCs w:val="16"/>
          <w:color w:val="auto"/>
        </w:rPr>
        <w:t>We entered into a three-year employment agreement with Ms. Ferris, dated October 17, 2022, to serve as our President and Chief Executive Officer which became effective on December 16, 2022, with a provision for automatic annual extensions after the initial two-year period unless either party provides timely notice that the term should not be extended. Under the terms of the agreement,</w:t>
      </w:r>
      <w:r>
        <w:rPr>
          <w:sz w:val="1"/>
          <w:szCs w:val="1"/>
          <w:color w:val="auto"/>
        </w:rPr>
        <w:drawing>
          <wp:inline distT="0" distB="0" distL="0" distR="0">
            <wp:extent cx="34290" cy="12001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120015"/>
                    </a:xfrm>
                    <a:prstGeom prst="rect">
                      <a:avLst/>
                    </a:prstGeom>
                    <a:noFill/>
                    <a:ln>
                      <a:noFill/>
                    </a:ln>
                  </pic:spPr>
                </pic:pic>
              </a:graphicData>
            </a:graphic>
          </wp:inline>
        </w:drawing>
      </w:r>
      <w:r>
        <w:rPr>
          <w:rFonts w:ascii="Arial" w:cs="Arial" w:eastAsia="Arial" w:hAnsi="Arial"/>
          <w:sz w:val="16"/>
          <w:szCs w:val="16"/>
          <w:color w:val="auto"/>
        </w:rPr>
        <w:t>Ms. Ferris’ annual base salary for 2025 was $1,250,000 and her annual bonus target was 225% of base salary, with higher or lower amounts payable depending on performance relative to targeted results. Ms. Ferris is entitled to receive annual equity grants (if made to executive officers of the Company in the ordinary course of business and approved by the Compensation Committee) with a minimum fair value of $12,000,000. In addition to cash and equity compensation, Ms. Ferris and her eligible dependents are entitled to medical and other insurance coverage we provide to our other top executives as a group. In addition, Ms. Ferris’ employment agreement contains provisions related to the payment of benefits upon certain termination events.</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431C5B"/>
        </w:rPr>
        <w:t>James Kehoe</w:t>
      </w:r>
    </w:p>
    <w:p>
      <w:pPr>
        <w:spacing w:after="0" w:line="77" w:lineRule="exact"/>
        <w:rPr>
          <w:sz w:val="20"/>
          <w:szCs w:val="20"/>
          <w:color w:val="auto"/>
        </w:rPr>
      </w:pPr>
    </w:p>
    <w:p>
      <w:pPr>
        <w:ind w:left="140" w:right="159"/>
        <w:spacing w:after="0" w:line="280" w:lineRule="auto"/>
        <w:rPr>
          <w:sz w:val="20"/>
          <w:szCs w:val="20"/>
          <w:color w:val="auto"/>
        </w:rPr>
      </w:pPr>
      <w:r>
        <w:rPr>
          <w:rFonts w:ascii="Arial" w:cs="Arial" w:eastAsia="Arial" w:hAnsi="Arial"/>
          <w:sz w:val="16"/>
          <w:szCs w:val="16"/>
          <w:color w:val="auto"/>
        </w:rPr>
        <w:t>We entered into a three-year employment agreement with Mr. Kehoe, effective July 20, 2023, to serve as our Executive Vice President and Chief Financial Officer, with a provision for automatic annual extensions after the initial two-year period unless either party provides timely notice that the term should not be extended. Mr. Kehoe’s annual base salary for 2025 was $975,000 and his annual bonus target was 150% of base salary, with higher or lower amounts payable depending on performance relative to targeted results. Mr. Kehoe is entitled to receive annual equity grants (if made to executive officers of the Company in the ordinary course of business and approved by the Compensation Committee) with a minimum fair value of $6,000,000. In addition to cash and equity compensation, Mr. Kehoe and his eligible dependents are entitled to medical and other insurance coverage we provide to our other top executives as a group. Mr. Kehoe’s employment agreement contains provisions related to the payment of benefits upon certain termination events.</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431C5B"/>
        </w:rPr>
        <w:t>Caroline Tsai</w:t>
      </w:r>
    </w:p>
    <w:p>
      <w:pPr>
        <w:spacing w:after="0" w:line="63" w:lineRule="exact"/>
        <w:rPr>
          <w:sz w:val="20"/>
          <w:szCs w:val="20"/>
          <w:color w:val="auto"/>
        </w:rPr>
      </w:pPr>
    </w:p>
    <w:p>
      <w:pPr>
        <w:ind w:left="140" w:right="239"/>
        <w:spacing w:after="0" w:line="275" w:lineRule="auto"/>
        <w:rPr>
          <w:sz w:val="20"/>
          <w:szCs w:val="20"/>
          <w:color w:val="auto"/>
        </w:rPr>
      </w:pPr>
      <w:r>
        <w:rPr>
          <w:rFonts w:ascii="Arial" w:cs="Arial" w:eastAsia="Arial" w:hAnsi="Arial"/>
          <w:sz w:val="16"/>
          <w:szCs w:val="16"/>
          <w:color w:val="auto"/>
        </w:rPr>
        <w:t>We entered into a three-year employment agreement with Ms. Tsai, effective February 7, 2022, to serve as our Executive Vice President and Chief Legal Officer, with a provision for automatic annual extensions after the initial two-year period unless either party provides timely notice that the term should not be extended. Under the terms of the agreement,</w:t>
      </w:r>
    </w:p>
    <w:p>
      <w:pPr>
        <w:spacing w:after="0" w:line="2" w:lineRule="exact"/>
        <w:rPr>
          <w:sz w:val="20"/>
          <w:szCs w:val="20"/>
          <w:color w:val="auto"/>
        </w:rPr>
      </w:pPr>
    </w:p>
    <w:p>
      <w:pPr>
        <w:ind w:left="140" w:right="139"/>
        <w:spacing w:after="0" w:line="289" w:lineRule="auto"/>
        <w:rPr>
          <w:sz w:val="20"/>
          <w:szCs w:val="20"/>
          <w:color w:val="auto"/>
        </w:rPr>
      </w:pPr>
      <w:r>
        <w:rPr>
          <w:rFonts w:ascii="Arial" w:cs="Arial" w:eastAsia="Arial" w:hAnsi="Arial"/>
          <w:sz w:val="16"/>
          <w:szCs w:val="16"/>
          <w:color w:val="auto"/>
        </w:rPr>
        <w:t>Ms. Tsai's annual base salary for 2025 was $700,000 and her annual bonus target was 140% of base salary, with higher or lower amounts payable depending on performance relative to targeted results. Ms. Tsai and her eligible dependents are entitled to medical and other insurance coverage we provide to our other top executives as a group. Ms. Tsai’s employment agreement contains provisions related to the payment of benefits upon certain termination events.</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Other Plans and Benefits</w:t>
      </w:r>
    </w:p>
    <w:p>
      <w:pPr>
        <w:spacing w:after="0" w:line="101" w:lineRule="exact"/>
        <w:rPr>
          <w:sz w:val="20"/>
          <w:szCs w:val="20"/>
          <w:color w:val="auto"/>
        </w:rPr>
      </w:pPr>
    </w:p>
    <w:p>
      <w:pPr>
        <w:ind w:left="140" w:right="439"/>
        <w:spacing w:after="0" w:line="289" w:lineRule="auto"/>
        <w:rPr>
          <w:sz w:val="20"/>
          <w:szCs w:val="20"/>
          <w:color w:val="auto"/>
        </w:rPr>
      </w:pPr>
      <w:r>
        <w:rPr>
          <w:rFonts w:ascii="Arial" w:cs="Arial" w:eastAsia="Arial" w:hAnsi="Arial"/>
          <w:sz w:val="16"/>
          <w:szCs w:val="16"/>
          <w:color w:val="auto"/>
        </w:rPr>
        <w:t>We also provide our NEOs with limited special benefits and perquisites, as discussed in the Compensation Discussion and Analysis section and in the 2025 Summary Compensation Table under the column All Other Compensation and the related footnote. More information about these programs can be found in the Compensation Discussion and Analysis section.</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20" w:hanging="429"/>
        <w:spacing w:after="0"/>
        <w:tabs>
          <w:tab w:leader="none" w:pos="620" w:val="left"/>
        </w:tabs>
        <w:numPr>
          <w:ilvl w:val="0"/>
          <w:numId w:val="101"/>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77" w:name="page78"/>
    <w:bookmarkEnd w:id="77"/>
    <w:p>
      <w:pPr>
        <w:ind w:left="716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2025 Outstanding Equity Awards at Fiscal Year-end</w:t>
      </w:r>
    </w:p>
    <w:p>
      <w:pPr>
        <w:spacing w:after="0" w:line="94" w:lineRule="exact"/>
        <w:rPr>
          <w:sz w:val="20"/>
          <w:szCs w:val="20"/>
          <w:color w:val="auto"/>
        </w:rPr>
      </w:pPr>
    </w:p>
    <w:p>
      <w:pPr>
        <w:ind w:left="140" w:right="139"/>
        <w:spacing w:after="0" w:line="268" w:lineRule="auto"/>
        <w:rPr>
          <w:sz w:val="20"/>
          <w:szCs w:val="20"/>
          <w:color w:val="auto"/>
        </w:rPr>
      </w:pPr>
      <w:r>
        <w:rPr>
          <w:rFonts w:ascii="Arial" w:cs="Arial" w:eastAsia="Arial" w:hAnsi="Arial"/>
          <w:sz w:val="16"/>
          <w:szCs w:val="16"/>
          <w:color w:val="auto"/>
        </w:rPr>
        <w:t>The following table sets forth information concerning unexercised stock options, stock that has not vested and other equity incentive plan awards for each NEO outstanding as of December 31,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Equity</w:t>
            </w:r>
          </w:p>
        </w:tc>
      </w:tr>
      <w:tr>
        <w:trPr>
          <w:trHeight w:val="148"/>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Incentive</w:t>
            </w:r>
          </w:p>
        </w:tc>
      </w:tr>
      <w:tr>
        <w:trPr>
          <w:trHeight w:val="149"/>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Plan</w:t>
            </w:r>
          </w:p>
        </w:tc>
      </w:tr>
      <w:tr>
        <w:trPr>
          <w:trHeight w:val="148"/>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Awards;</w:t>
            </w:r>
          </w:p>
        </w:tc>
      </w:tr>
      <w:tr>
        <w:trPr>
          <w:trHeight w:val="148"/>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Market or</w:t>
            </w:r>
          </w:p>
        </w:tc>
      </w:tr>
      <w:tr>
        <w:trPr>
          <w:trHeight w:val="162"/>
        </w:trPr>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431C5B"/>
              </w:rPr>
              <w:t>Equity</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Payout</w:t>
            </w:r>
          </w:p>
        </w:tc>
      </w:tr>
      <w:tr>
        <w:trPr>
          <w:trHeight w:val="149"/>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431C5B"/>
              </w:rPr>
              <w:t>Incentive</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Value</w:t>
            </w:r>
          </w:p>
        </w:tc>
      </w:tr>
      <w:tr>
        <w:trPr>
          <w:trHeight w:val="148"/>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431C5B"/>
              </w:rPr>
              <w:t>Plan Awards;</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of Unearned</w:t>
            </w:r>
          </w:p>
        </w:tc>
      </w:tr>
      <w:tr>
        <w:trPr>
          <w:trHeight w:val="148"/>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431C5B"/>
              </w:rPr>
              <w:t>Number of</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Shares,</w:t>
            </w:r>
          </w:p>
        </w:tc>
      </w:tr>
      <w:tr>
        <w:trPr>
          <w:trHeight w:val="148"/>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431C5B"/>
              </w:rPr>
              <w:t>Unearned</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Units</w:t>
            </w:r>
          </w:p>
        </w:tc>
      </w:tr>
      <w:tr>
        <w:trPr>
          <w:trHeight w:val="162"/>
        </w:trPr>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431C5B"/>
              </w:rPr>
              <w:t>Number of</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431C5B"/>
              </w:rPr>
              <w:t>Number of</w:t>
            </w: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431C5B"/>
              </w:rPr>
              <w:t>Number of</w:t>
            </w:r>
          </w:p>
        </w:tc>
        <w:tc>
          <w:tcPr>
            <w:tcW w:w="9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431C5B"/>
              </w:rPr>
              <w:t>Shares, Units</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or Other</w:t>
            </w:r>
          </w:p>
        </w:tc>
      </w:tr>
      <w:tr>
        <w:trPr>
          <w:trHeight w:val="148"/>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431C5B"/>
              </w:rPr>
              <w:t>Securities</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431C5B"/>
              </w:rPr>
              <w:t>Securities</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431C5B"/>
              </w:rPr>
              <w:t>Shares or</w:t>
            </w:r>
          </w:p>
        </w:tc>
        <w:tc>
          <w:tcPr>
            <w:tcW w:w="9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431C5B"/>
              </w:rPr>
              <w:t>or Other</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Rights that</w:t>
            </w:r>
          </w:p>
        </w:tc>
      </w:tr>
      <w:tr>
        <w:trPr>
          <w:trHeight w:val="148"/>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431C5B"/>
              </w:rPr>
              <w:t>Underlying</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431C5B"/>
              </w:rPr>
              <w:t>Underlying</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431C5B"/>
              </w:rPr>
              <w:t>Option</w:t>
            </w:r>
          </w:p>
        </w:tc>
        <w:tc>
          <w:tcPr>
            <w:tcW w:w="8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431C5B"/>
              </w:rPr>
              <w:t>Units of</w:t>
            </w:r>
          </w:p>
        </w:tc>
        <w:tc>
          <w:tcPr>
            <w:tcW w:w="9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431C5B"/>
              </w:rPr>
              <w:t>Rights That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Have Not</w:t>
            </w:r>
          </w:p>
        </w:tc>
      </w:tr>
      <w:tr>
        <w:trPr>
          <w:trHeight w:val="148"/>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431C5B"/>
              </w:rPr>
              <w:t>Unexercised</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431C5B"/>
              </w:rPr>
              <w:t>Unexercised</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431C5B"/>
              </w:rPr>
              <w:t>Exercise</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431C5B"/>
              </w:rPr>
              <w:t>Option</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431C5B"/>
              </w:rPr>
              <w:t>Stock That</w:t>
            </w:r>
          </w:p>
        </w:tc>
        <w:tc>
          <w:tcPr>
            <w:tcW w:w="940" w:type="dxa"/>
            <w:vAlign w:val="bottom"/>
          </w:tcPr>
          <w:p>
            <w:pPr>
              <w:jc w:val="right"/>
              <w:ind w:right="33"/>
              <w:spacing w:after="0"/>
              <w:rPr>
                <w:sz w:val="20"/>
                <w:szCs w:val="20"/>
                <w:color w:val="auto"/>
              </w:rPr>
            </w:pPr>
            <w:r>
              <w:rPr>
                <w:rFonts w:ascii="Arial" w:cs="Arial" w:eastAsia="Arial" w:hAnsi="Arial"/>
                <w:sz w:val="13"/>
                <w:szCs w:val="13"/>
                <w:b w:val="1"/>
                <w:bCs w:val="1"/>
                <w:color w:val="431C5B"/>
              </w:rPr>
              <w:t>Value of</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431C5B"/>
              </w:rPr>
              <w:t>Have Not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Vested or</w:t>
            </w:r>
          </w:p>
        </w:tc>
      </w:tr>
      <w:tr>
        <w:trPr>
          <w:trHeight w:val="148"/>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431C5B"/>
              </w:rPr>
              <w:t>Options (#)</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431C5B"/>
              </w:rPr>
              <w:t>Options (#)</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431C5B"/>
              </w:rPr>
              <w:t>Price</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431C5B"/>
              </w:rPr>
              <w:t>Expiration</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431C5B"/>
              </w:rPr>
              <w:t>Have Not</w:t>
            </w:r>
          </w:p>
        </w:tc>
        <w:tc>
          <w:tcPr>
            <w:tcW w:w="940" w:type="dxa"/>
            <w:vAlign w:val="bottom"/>
          </w:tcPr>
          <w:p>
            <w:pPr>
              <w:jc w:val="right"/>
              <w:ind w:right="13"/>
              <w:spacing w:after="0"/>
              <w:rPr>
                <w:sz w:val="20"/>
                <w:szCs w:val="20"/>
                <w:color w:val="auto"/>
              </w:rPr>
            </w:pPr>
            <w:r>
              <w:rPr>
                <w:rFonts w:ascii="Arial" w:cs="Arial" w:eastAsia="Arial" w:hAnsi="Arial"/>
                <w:sz w:val="13"/>
                <w:szCs w:val="13"/>
                <w:b w:val="1"/>
                <w:bCs w:val="1"/>
                <w:color w:val="431C5B"/>
              </w:rPr>
              <w:t>Time-based</w:t>
            </w:r>
          </w:p>
        </w:tc>
        <w:tc>
          <w:tcPr>
            <w:tcW w:w="940" w:type="dxa"/>
            <w:vAlign w:val="bottom"/>
          </w:tcPr>
          <w:p>
            <w:pPr>
              <w:jc w:val="right"/>
              <w:ind w:right="14"/>
              <w:spacing w:after="0"/>
              <w:rPr>
                <w:sz w:val="20"/>
                <w:szCs w:val="20"/>
                <w:color w:val="auto"/>
              </w:rPr>
            </w:pPr>
            <w:r>
              <w:rPr>
                <w:rFonts w:ascii="Arial" w:cs="Arial" w:eastAsia="Arial" w:hAnsi="Arial"/>
                <w:sz w:val="13"/>
                <w:szCs w:val="13"/>
                <w:b w:val="1"/>
                <w:bCs w:val="1"/>
                <w:color w:val="431C5B"/>
              </w:rPr>
              <w:t>Vested</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431C5B"/>
              </w:rPr>
              <w:t>distributed</w:t>
            </w:r>
          </w:p>
        </w:tc>
      </w:tr>
      <w:tr>
        <w:trPr>
          <w:trHeight w:val="166"/>
        </w:trPr>
        <w:tc>
          <w:tcPr>
            <w:tcW w:w="900" w:type="dxa"/>
            <w:vAlign w:val="bottom"/>
            <w:tcBorders>
              <w:bottom w:val="single" w:sz="8" w:color="431C5B"/>
            </w:tcBorders>
          </w:tcPr>
          <w:p>
            <w:pPr>
              <w:ind w:left="80"/>
              <w:spacing w:after="0"/>
              <w:rPr>
                <w:sz w:val="20"/>
                <w:szCs w:val="20"/>
                <w:color w:val="auto"/>
              </w:rPr>
            </w:pPr>
            <w:r>
              <w:rPr>
                <w:rFonts w:ascii="Arial" w:cs="Arial" w:eastAsia="Arial" w:hAnsi="Arial"/>
                <w:sz w:val="13"/>
                <w:szCs w:val="13"/>
                <w:b w:val="1"/>
                <w:bCs w:val="1"/>
                <w:color w:val="431C5B"/>
              </w:rPr>
              <w:t>(a) Name</w:t>
            </w:r>
          </w:p>
        </w:tc>
        <w:tc>
          <w:tcPr>
            <w:tcW w:w="82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Grant Date</w:t>
            </w:r>
          </w:p>
        </w:tc>
        <w:tc>
          <w:tcPr>
            <w:tcW w:w="90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Exercisable</w:t>
            </w:r>
          </w:p>
        </w:tc>
        <w:tc>
          <w:tcPr>
            <w:tcW w:w="1080" w:type="dxa"/>
            <w:vAlign w:val="bottom"/>
            <w:tcBorders>
              <w:bottom w:val="single" w:sz="8" w:color="431C5B"/>
            </w:tcBorders>
          </w:tcPr>
          <w:p>
            <w:pPr>
              <w:jc w:val="right"/>
              <w:spacing w:after="0" w:line="167" w:lineRule="exact"/>
              <w:rPr>
                <w:sz w:val="20"/>
                <w:szCs w:val="20"/>
                <w:color w:val="auto"/>
              </w:rPr>
            </w:pPr>
            <w:r>
              <w:rPr>
                <w:rFonts w:ascii="Arial" w:cs="Arial" w:eastAsia="Arial" w:hAnsi="Arial"/>
                <w:sz w:val="13"/>
                <w:szCs w:val="13"/>
                <w:b w:val="1"/>
                <w:bCs w:val="1"/>
                <w:color w:val="431C5B"/>
              </w:rPr>
              <w:t>Unexercisable</w:t>
            </w:r>
            <w:r>
              <w:rPr>
                <w:rFonts w:ascii="Arial" w:cs="Arial" w:eastAsia="Arial" w:hAnsi="Arial"/>
                <w:sz w:val="16"/>
                <w:szCs w:val="16"/>
                <w:b w:val="1"/>
                <w:bCs w:val="1"/>
                <w:color w:val="431C5B"/>
                <w:vertAlign w:val="superscript"/>
              </w:rPr>
              <w:t>(1)</w:t>
            </w:r>
          </w:p>
        </w:tc>
        <w:tc>
          <w:tcPr>
            <w:tcW w:w="68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w:t>
            </w:r>
          </w:p>
        </w:tc>
        <w:tc>
          <w:tcPr>
            <w:tcW w:w="84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Date</w:t>
            </w:r>
          </w:p>
        </w:tc>
        <w:tc>
          <w:tcPr>
            <w:tcW w:w="800" w:type="dxa"/>
            <w:vAlign w:val="bottom"/>
            <w:tcBorders>
              <w:bottom w:val="single" w:sz="8" w:color="431C5B"/>
            </w:tcBorders>
          </w:tcPr>
          <w:p>
            <w:pPr>
              <w:jc w:val="right"/>
              <w:spacing w:after="0" w:line="167" w:lineRule="exact"/>
              <w:rPr>
                <w:sz w:val="20"/>
                <w:szCs w:val="20"/>
                <w:color w:val="auto"/>
              </w:rPr>
            </w:pPr>
            <w:r>
              <w:rPr>
                <w:rFonts w:ascii="Arial" w:cs="Arial" w:eastAsia="Arial" w:hAnsi="Arial"/>
                <w:sz w:val="13"/>
                <w:szCs w:val="13"/>
                <w:b w:val="1"/>
                <w:bCs w:val="1"/>
                <w:color w:val="431C5B"/>
              </w:rPr>
              <w:t>Vested(#)</w:t>
            </w:r>
            <w:r>
              <w:rPr>
                <w:rFonts w:ascii="Arial" w:cs="Arial" w:eastAsia="Arial" w:hAnsi="Arial"/>
                <w:sz w:val="16"/>
                <w:szCs w:val="16"/>
                <w:b w:val="1"/>
                <w:bCs w:val="1"/>
                <w:color w:val="431C5B"/>
                <w:vertAlign w:val="superscript"/>
              </w:rPr>
              <w:t>(2)</w:t>
            </w:r>
          </w:p>
        </w:tc>
        <w:tc>
          <w:tcPr>
            <w:tcW w:w="940" w:type="dxa"/>
            <w:vAlign w:val="bottom"/>
            <w:tcBorders>
              <w:bottom w:val="single" w:sz="8" w:color="431C5B"/>
            </w:tcBorders>
          </w:tcPr>
          <w:p>
            <w:pPr>
              <w:jc w:val="right"/>
              <w:ind w:right="13"/>
              <w:spacing w:after="0" w:line="167" w:lineRule="exact"/>
              <w:rPr>
                <w:sz w:val="20"/>
                <w:szCs w:val="20"/>
                <w:color w:val="auto"/>
              </w:rPr>
            </w:pPr>
            <w:r>
              <w:rPr>
                <w:rFonts w:ascii="Arial" w:cs="Arial" w:eastAsia="Arial" w:hAnsi="Arial"/>
                <w:sz w:val="13"/>
                <w:szCs w:val="13"/>
                <w:b w:val="1"/>
                <w:bCs w:val="1"/>
                <w:color w:val="431C5B"/>
              </w:rPr>
              <w:t>Awards($)</w:t>
            </w:r>
            <w:r>
              <w:rPr>
                <w:rFonts w:ascii="Arial" w:cs="Arial" w:eastAsia="Arial" w:hAnsi="Arial"/>
                <w:sz w:val="16"/>
                <w:szCs w:val="16"/>
                <w:b w:val="1"/>
                <w:bCs w:val="1"/>
                <w:color w:val="431C5B"/>
                <w:vertAlign w:val="superscript"/>
              </w:rPr>
              <w:t>(3)</w:t>
            </w:r>
          </w:p>
        </w:tc>
        <w:tc>
          <w:tcPr>
            <w:tcW w:w="940" w:type="dxa"/>
            <w:vAlign w:val="bottom"/>
            <w:tcBorders>
              <w:bottom w:val="single" w:sz="8" w:color="431C5B"/>
            </w:tcBorders>
          </w:tcPr>
          <w:p>
            <w:pPr>
              <w:jc w:val="right"/>
              <w:spacing w:after="0" w:line="167" w:lineRule="exact"/>
              <w:rPr>
                <w:sz w:val="20"/>
                <w:szCs w:val="20"/>
                <w:color w:val="auto"/>
              </w:rPr>
            </w:pPr>
            <w:r>
              <w:rPr>
                <w:rFonts w:ascii="Arial" w:cs="Arial" w:eastAsia="Arial" w:hAnsi="Arial"/>
                <w:sz w:val="13"/>
                <w:szCs w:val="13"/>
                <w:b w:val="1"/>
                <w:bCs w:val="1"/>
                <w:color w:val="431C5B"/>
              </w:rPr>
              <w:t>(#)</w:t>
            </w:r>
            <w:r>
              <w:rPr>
                <w:rFonts w:ascii="Arial" w:cs="Arial" w:eastAsia="Arial" w:hAnsi="Arial"/>
                <w:sz w:val="16"/>
                <w:szCs w:val="16"/>
                <w:b w:val="1"/>
                <w:bCs w:val="1"/>
                <w:color w:val="431C5B"/>
                <w:vertAlign w:val="superscript"/>
              </w:rPr>
              <w:t>(4)</w:t>
            </w:r>
          </w:p>
        </w:tc>
        <w:tc>
          <w:tcPr>
            <w:tcW w:w="860" w:type="dxa"/>
            <w:vAlign w:val="bottom"/>
            <w:tcBorders>
              <w:bottom w:val="single" w:sz="8" w:color="431C5B"/>
            </w:tcBorders>
          </w:tcPr>
          <w:p>
            <w:pPr>
              <w:jc w:val="right"/>
              <w:spacing w:after="0" w:line="167" w:lineRule="exact"/>
              <w:rPr>
                <w:sz w:val="20"/>
                <w:szCs w:val="20"/>
                <w:color w:val="auto"/>
              </w:rPr>
            </w:pPr>
            <w:r>
              <w:rPr>
                <w:rFonts w:ascii="Arial" w:cs="Arial" w:eastAsia="Arial" w:hAnsi="Arial"/>
                <w:sz w:val="13"/>
                <w:szCs w:val="13"/>
                <w:b w:val="1"/>
                <w:bCs w:val="1"/>
                <w:color w:val="431C5B"/>
              </w:rPr>
              <w:t>($)</w:t>
            </w:r>
            <w:r>
              <w:rPr>
                <w:rFonts w:ascii="Arial" w:cs="Arial" w:eastAsia="Arial" w:hAnsi="Arial"/>
                <w:sz w:val="16"/>
                <w:szCs w:val="16"/>
                <w:b w:val="1"/>
                <w:bCs w:val="1"/>
                <w:color w:val="431C5B"/>
                <w:vertAlign w:val="superscript"/>
              </w:rPr>
              <w:t>(5)</w:t>
            </w:r>
          </w:p>
        </w:tc>
      </w:tr>
      <w:tr>
        <w:trPr>
          <w:trHeight w:val="176"/>
        </w:trPr>
        <w:tc>
          <w:tcPr>
            <w:tcW w:w="90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3"/>
                <w:szCs w:val="13"/>
                <w:b w:val="1"/>
                <w:bCs w:val="1"/>
                <w:color w:val="431C5B"/>
              </w:rPr>
              <w:t>Stephanie</w:t>
            </w: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09/03/2021</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58,230</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125.39</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09/03/2028</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90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3"/>
                <w:szCs w:val="13"/>
                <w:b w:val="1"/>
                <w:bCs w:val="1"/>
                <w:color w:val="431C5B"/>
              </w:rPr>
              <w:t>L. Ferris</w:t>
            </w: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02/28/2022</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96,061</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95.23</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02/28/2029</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900" w:type="dxa"/>
            <w:vAlign w:val="bottom"/>
            <w:tcBorders>
              <w:bottom w:val="single" w:sz="8" w:color="EDFAEC"/>
            </w:tcBorders>
            <w:shd w:val="clear" w:color="auto" w:fill="EDFAEC"/>
          </w:tcPr>
          <w:p>
            <w:pPr>
              <w:spacing w:after="0"/>
              <w:rPr>
                <w:sz w:val="15"/>
                <w:szCs w:val="15"/>
                <w:color w:val="auto"/>
              </w:rPr>
            </w:pP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02/28/2023</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99,378</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49,690</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72.88</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02/28/2030</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56,179</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3,733,656</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900" w:type="dxa"/>
            <w:vAlign w:val="bottom"/>
            <w:tcBorders>
              <w:bottom w:val="single" w:sz="8" w:color="EDFAEC"/>
            </w:tcBorders>
            <w:shd w:val="clear" w:color="auto" w:fill="EDFAEC"/>
          </w:tcPr>
          <w:p>
            <w:pPr>
              <w:spacing w:after="0"/>
              <w:rPr>
                <w:sz w:val="15"/>
                <w:szCs w:val="15"/>
                <w:color w:val="auto"/>
              </w:rPr>
            </w:pP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02/28/2023</w:t>
            </w:r>
          </w:p>
        </w:tc>
        <w:tc>
          <w:tcPr>
            <w:tcW w:w="900" w:type="dxa"/>
            <w:vAlign w:val="bottom"/>
            <w:tcBorders>
              <w:bottom w:val="single" w:sz="8" w:color="E6E6E6"/>
            </w:tcBorders>
            <w:shd w:val="clear" w:color="auto" w:fill="EDFAEC"/>
          </w:tcPr>
          <w:p>
            <w:pPr>
              <w:ind w:left="360"/>
              <w:spacing w:after="0"/>
              <w:rPr>
                <w:sz w:val="20"/>
                <w:szCs w:val="20"/>
                <w:color w:val="auto"/>
              </w:rPr>
            </w:pPr>
            <w:r>
              <w:rPr>
                <w:rFonts w:ascii="Arial" w:cs="Arial" w:eastAsia="Arial" w:hAnsi="Arial"/>
                <w:sz w:val="13"/>
                <w:szCs w:val="13"/>
                <w:color w:val="auto"/>
              </w:rPr>
              <w:t>111,025</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55,513</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79.21</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02/28/2030</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900" w:type="dxa"/>
            <w:vAlign w:val="bottom"/>
            <w:tcBorders>
              <w:bottom w:val="single" w:sz="8" w:color="EDFAEC"/>
            </w:tcBorders>
            <w:shd w:val="clear" w:color="auto" w:fill="EDFAEC"/>
          </w:tcPr>
          <w:p>
            <w:pPr>
              <w:spacing w:after="0"/>
              <w:rPr>
                <w:sz w:val="15"/>
                <w:szCs w:val="15"/>
                <w:color w:val="auto"/>
              </w:rPr>
            </w:pP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02/28/2023</w:t>
            </w:r>
          </w:p>
        </w:tc>
        <w:tc>
          <w:tcPr>
            <w:tcW w:w="900" w:type="dxa"/>
            <w:vAlign w:val="bottom"/>
            <w:tcBorders>
              <w:bottom w:val="single" w:sz="8" w:color="E6E6E6"/>
            </w:tcBorders>
            <w:shd w:val="clear" w:color="auto" w:fill="EDFAEC"/>
          </w:tcPr>
          <w:p>
            <w:pPr>
              <w:ind w:left="360"/>
              <w:spacing w:after="0"/>
              <w:rPr>
                <w:sz w:val="20"/>
                <w:szCs w:val="20"/>
                <w:color w:val="auto"/>
              </w:rPr>
            </w:pPr>
            <w:r>
              <w:rPr>
                <w:rFonts w:ascii="Arial" w:cs="Arial" w:eastAsia="Arial" w:hAnsi="Arial"/>
                <w:sz w:val="13"/>
                <w:szCs w:val="13"/>
                <w:color w:val="auto"/>
              </w:rPr>
              <w:t>117,168</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58,585</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82.38</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02/28/2030</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900" w:type="dxa"/>
            <w:vAlign w:val="bottom"/>
            <w:tcBorders>
              <w:bottom w:val="single" w:sz="8" w:color="EDFAEC"/>
            </w:tcBorders>
            <w:shd w:val="clear" w:color="auto" w:fill="EDFAEC"/>
          </w:tcPr>
          <w:p>
            <w:pPr>
              <w:spacing w:after="0"/>
              <w:rPr>
                <w:sz w:val="15"/>
                <w:szCs w:val="15"/>
                <w:color w:val="auto"/>
              </w:rPr>
            </w:pP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03/08/2024</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50,615</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3,363,873</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258,497</w:t>
            </w:r>
          </w:p>
        </w:tc>
        <w:tc>
          <w:tcPr>
            <w:tcW w:w="86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17,179,711</w:t>
            </w:r>
          </w:p>
        </w:tc>
      </w:tr>
      <w:tr>
        <w:trPr>
          <w:trHeight w:val="183"/>
        </w:trPr>
        <w:tc>
          <w:tcPr>
            <w:tcW w:w="900" w:type="dxa"/>
            <w:vAlign w:val="bottom"/>
            <w:tcBorders>
              <w:bottom w:val="single" w:sz="8" w:color="E6E6E6"/>
            </w:tcBorders>
            <w:shd w:val="clear" w:color="auto" w:fill="EDFAEC"/>
          </w:tcPr>
          <w:p>
            <w:pPr>
              <w:spacing w:after="0"/>
              <w:rPr>
                <w:sz w:val="15"/>
                <w:szCs w:val="15"/>
                <w:color w:val="auto"/>
              </w:rPr>
            </w:pP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02/28/2025</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93,502</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6,214,143</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224,437</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14,916,083</w:t>
            </w:r>
          </w:p>
        </w:tc>
      </w:tr>
      <w:tr>
        <w:trPr>
          <w:trHeight w:val="176"/>
        </w:trPr>
        <w:tc>
          <w:tcPr>
            <w:tcW w:w="900" w:type="dxa"/>
            <w:vAlign w:val="bottom"/>
          </w:tcPr>
          <w:p>
            <w:pPr>
              <w:ind w:left="80"/>
              <w:spacing w:after="0"/>
              <w:rPr>
                <w:sz w:val="20"/>
                <w:szCs w:val="20"/>
                <w:color w:val="auto"/>
              </w:rPr>
            </w:pPr>
            <w:r>
              <w:rPr>
                <w:rFonts w:ascii="Arial" w:cs="Arial" w:eastAsia="Arial" w:hAnsi="Arial"/>
                <w:sz w:val="13"/>
                <w:szCs w:val="13"/>
                <w:b w:val="1"/>
                <w:bCs w:val="1"/>
                <w:color w:val="431C5B"/>
              </w:rPr>
              <w:t>James</w:t>
            </w:r>
          </w:p>
        </w:tc>
        <w:tc>
          <w:tcPr>
            <w:tcW w:w="82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03/08/2024</w:t>
            </w:r>
          </w:p>
        </w:tc>
        <w:tc>
          <w:tcPr>
            <w:tcW w:w="90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20,246</w:t>
            </w:r>
          </w:p>
        </w:tc>
        <w:tc>
          <w:tcPr>
            <w:tcW w:w="940" w:type="dxa"/>
            <w:vAlign w:val="bottom"/>
            <w:tcBorders>
              <w:bottom w:val="single" w:sz="8" w:color="E6E6E6"/>
            </w:tcBorders>
          </w:tcPr>
          <w:p>
            <w:pPr>
              <w:jc w:val="right"/>
              <w:ind w:right="33"/>
              <w:spacing w:after="0"/>
              <w:rPr>
                <w:sz w:val="20"/>
                <w:szCs w:val="20"/>
                <w:color w:val="auto"/>
              </w:rPr>
            </w:pPr>
            <w:r>
              <w:rPr>
                <w:rFonts w:ascii="Arial" w:cs="Arial" w:eastAsia="Arial" w:hAnsi="Arial"/>
                <w:sz w:val="13"/>
                <w:szCs w:val="13"/>
                <w:color w:val="auto"/>
              </w:rPr>
              <w:t>1,345,549</w:t>
            </w:r>
          </w:p>
        </w:tc>
        <w:tc>
          <w:tcPr>
            <w:tcW w:w="940" w:type="dxa"/>
            <w:vAlign w:val="bottom"/>
            <w:tcBorders>
              <w:bottom w:val="single" w:sz="8" w:color="E6E6E6"/>
            </w:tcBorders>
          </w:tcPr>
          <w:p>
            <w:pPr>
              <w:jc w:val="right"/>
              <w:ind w:right="14"/>
              <w:spacing w:after="0"/>
              <w:rPr>
                <w:sz w:val="20"/>
                <w:szCs w:val="20"/>
                <w:color w:val="auto"/>
              </w:rPr>
            </w:pPr>
            <w:r>
              <w:rPr>
                <w:rFonts w:ascii="Arial" w:cs="Arial" w:eastAsia="Arial" w:hAnsi="Arial"/>
                <w:sz w:val="13"/>
                <w:szCs w:val="13"/>
                <w:color w:val="auto"/>
              </w:rPr>
              <w:t>103,399</w:t>
            </w:r>
          </w:p>
        </w:tc>
        <w:tc>
          <w:tcPr>
            <w:tcW w:w="86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6,871,898</w:t>
            </w:r>
          </w:p>
        </w:tc>
      </w:tr>
      <w:tr>
        <w:trPr>
          <w:trHeight w:val="189"/>
        </w:trPr>
        <w:tc>
          <w:tcPr>
            <w:tcW w:w="900" w:type="dxa"/>
            <w:vAlign w:val="bottom"/>
            <w:tcBorders>
              <w:bottom w:val="single" w:sz="8" w:color="E6E6E6"/>
            </w:tcBorders>
          </w:tcPr>
          <w:p>
            <w:pPr>
              <w:ind w:left="80"/>
              <w:spacing w:after="0"/>
              <w:rPr>
                <w:sz w:val="20"/>
                <w:szCs w:val="20"/>
                <w:color w:val="auto"/>
              </w:rPr>
            </w:pPr>
            <w:r>
              <w:rPr>
                <w:rFonts w:ascii="Arial" w:cs="Arial" w:eastAsia="Arial" w:hAnsi="Arial"/>
                <w:sz w:val="13"/>
                <w:szCs w:val="13"/>
                <w:b w:val="1"/>
                <w:bCs w:val="1"/>
                <w:color w:val="431C5B"/>
              </w:rPr>
              <w:t>Kehoe</w:t>
            </w:r>
          </w:p>
        </w:tc>
        <w:tc>
          <w:tcPr>
            <w:tcW w:w="82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02/28/2025</w:t>
            </w:r>
          </w:p>
        </w:tc>
        <w:tc>
          <w:tcPr>
            <w:tcW w:w="90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30,325</w:t>
            </w:r>
          </w:p>
        </w:tc>
        <w:tc>
          <w:tcPr>
            <w:tcW w:w="940" w:type="dxa"/>
            <w:vAlign w:val="bottom"/>
            <w:tcBorders>
              <w:bottom w:val="single" w:sz="8" w:color="E6E6E6"/>
            </w:tcBorders>
          </w:tcPr>
          <w:p>
            <w:pPr>
              <w:jc w:val="right"/>
              <w:ind w:right="33"/>
              <w:spacing w:after="0"/>
              <w:rPr>
                <w:sz w:val="20"/>
                <w:szCs w:val="20"/>
                <w:color w:val="auto"/>
              </w:rPr>
            </w:pPr>
            <w:r>
              <w:rPr>
                <w:rFonts w:ascii="Arial" w:cs="Arial" w:eastAsia="Arial" w:hAnsi="Arial"/>
                <w:sz w:val="13"/>
                <w:szCs w:val="13"/>
                <w:color w:val="auto"/>
              </w:rPr>
              <w:t>2,015,400</w:t>
            </w:r>
          </w:p>
        </w:tc>
        <w:tc>
          <w:tcPr>
            <w:tcW w:w="940" w:type="dxa"/>
            <w:vAlign w:val="bottom"/>
            <w:tcBorders>
              <w:bottom w:val="single" w:sz="8" w:color="E6E6E6"/>
            </w:tcBorders>
          </w:tcPr>
          <w:p>
            <w:pPr>
              <w:jc w:val="right"/>
              <w:ind w:right="14"/>
              <w:spacing w:after="0"/>
              <w:rPr>
                <w:sz w:val="20"/>
                <w:szCs w:val="20"/>
                <w:color w:val="auto"/>
              </w:rPr>
            </w:pPr>
            <w:r>
              <w:rPr>
                <w:rFonts w:ascii="Arial" w:cs="Arial" w:eastAsia="Arial" w:hAnsi="Arial"/>
                <w:sz w:val="13"/>
                <w:szCs w:val="13"/>
                <w:color w:val="auto"/>
              </w:rPr>
              <w:t>72,791</w:t>
            </w:r>
          </w:p>
        </w:tc>
        <w:tc>
          <w:tcPr>
            <w:tcW w:w="86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4,837,690</w:t>
            </w:r>
          </w:p>
        </w:tc>
      </w:tr>
      <w:tr>
        <w:trPr>
          <w:trHeight w:val="176"/>
        </w:trPr>
        <w:tc>
          <w:tcPr>
            <w:tcW w:w="90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3"/>
                <w:szCs w:val="13"/>
                <w:b w:val="1"/>
                <w:bCs w:val="1"/>
                <w:color w:val="431C5B"/>
              </w:rPr>
              <w:t>Firdaus</w:t>
            </w: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05/24/2023</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27,006</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13,504</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72.88</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05/24/2030</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14,591</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969,718</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900" w:type="dxa"/>
            <w:vAlign w:val="bottom"/>
            <w:tcBorders>
              <w:bottom w:val="single" w:sz="8" w:color="EDFAEC"/>
            </w:tcBorders>
            <w:shd w:val="clear" w:color="auto" w:fill="EDFAEC"/>
          </w:tcPr>
          <w:p>
            <w:pPr>
              <w:ind w:left="80"/>
              <w:spacing w:after="0" w:line="189" w:lineRule="exact"/>
              <w:rPr>
                <w:sz w:val="20"/>
                <w:szCs w:val="20"/>
                <w:color w:val="auto"/>
              </w:rPr>
            </w:pPr>
            <w:r>
              <w:rPr>
                <w:rFonts w:ascii="Arial" w:cs="Arial" w:eastAsia="Arial" w:hAnsi="Arial"/>
                <w:sz w:val="13"/>
                <w:szCs w:val="13"/>
                <w:b w:val="1"/>
                <w:bCs w:val="1"/>
                <w:color w:val="431C5B"/>
              </w:rPr>
              <w:t>Bhathena</w:t>
            </w:r>
            <w:r>
              <w:rPr>
                <w:rFonts w:ascii="Arial" w:cs="Arial" w:eastAsia="Arial" w:hAnsi="Arial"/>
                <w:sz w:val="17"/>
                <w:szCs w:val="17"/>
                <w:b w:val="1"/>
                <w:bCs w:val="1"/>
                <w:color w:val="431C5B"/>
                <w:vertAlign w:val="superscript"/>
              </w:rPr>
              <w:t>(6)</w:t>
            </w: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05/24/2023</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30,393</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15,197</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79.21</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05/24/2030</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900" w:type="dxa"/>
            <w:vAlign w:val="bottom"/>
            <w:tcBorders>
              <w:bottom w:val="single" w:sz="8" w:color="EDFAEC"/>
            </w:tcBorders>
            <w:shd w:val="clear" w:color="auto" w:fill="EDFAEC"/>
          </w:tcPr>
          <w:p>
            <w:pPr>
              <w:spacing w:after="0"/>
              <w:rPr>
                <w:sz w:val="15"/>
                <w:szCs w:val="15"/>
                <w:color w:val="auto"/>
              </w:rPr>
            </w:pP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05/24/2023</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32,207</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16,104</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82.38</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05/24/2030</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900" w:type="dxa"/>
            <w:vAlign w:val="bottom"/>
            <w:tcBorders>
              <w:bottom w:val="single" w:sz="8" w:color="EDFAEC"/>
            </w:tcBorders>
            <w:shd w:val="clear" w:color="auto" w:fill="EDFAEC"/>
          </w:tcPr>
          <w:p>
            <w:pPr>
              <w:spacing w:after="0"/>
              <w:rPr>
                <w:sz w:val="15"/>
                <w:szCs w:val="15"/>
                <w:color w:val="auto"/>
              </w:rPr>
            </w:pP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03/08/2024</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43,746</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2,907,359</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15,908</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1,057,246</w:t>
            </w:r>
          </w:p>
        </w:tc>
      </w:tr>
      <w:tr>
        <w:trPr>
          <w:trHeight w:val="183"/>
        </w:trPr>
        <w:tc>
          <w:tcPr>
            <w:tcW w:w="900" w:type="dxa"/>
            <w:vAlign w:val="bottom"/>
            <w:tcBorders>
              <w:bottom w:val="single" w:sz="8" w:color="E6E6E6"/>
            </w:tcBorders>
            <w:shd w:val="clear" w:color="auto" w:fill="EDFAEC"/>
          </w:tcPr>
          <w:p>
            <w:pPr>
              <w:spacing w:after="0"/>
              <w:rPr>
                <w:sz w:val="15"/>
                <w:szCs w:val="15"/>
                <w:color w:val="auto"/>
              </w:rPr>
            </w:pP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02/28/2025</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28,881</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1,919,431</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37,329</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2,480,885</w:t>
            </w:r>
          </w:p>
        </w:tc>
      </w:tr>
      <w:tr>
        <w:trPr>
          <w:trHeight w:val="176"/>
        </w:trPr>
        <w:tc>
          <w:tcPr>
            <w:tcW w:w="900" w:type="dxa"/>
            <w:vAlign w:val="bottom"/>
          </w:tcPr>
          <w:p>
            <w:pPr>
              <w:ind w:left="80"/>
              <w:spacing w:after="0"/>
              <w:rPr>
                <w:sz w:val="20"/>
                <w:szCs w:val="20"/>
                <w:color w:val="auto"/>
              </w:rPr>
            </w:pPr>
            <w:r>
              <w:rPr>
                <w:rFonts w:ascii="Arial" w:cs="Arial" w:eastAsia="Arial" w:hAnsi="Arial"/>
                <w:sz w:val="13"/>
                <w:szCs w:val="13"/>
                <w:b w:val="1"/>
                <w:bCs w:val="1"/>
                <w:color w:val="431C5B"/>
              </w:rPr>
              <w:t>Robert</w:t>
            </w:r>
          </w:p>
        </w:tc>
        <w:tc>
          <w:tcPr>
            <w:tcW w:w="82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11/07/2024</w:t>
            </w:r>
          </w:p>
        </w:tc>
        <w:tc>
          <w:tcPr>
            <w:tcW w:w="90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37,020</w:t>
            </w:r>
          </w:p>
        </w:tc>
        <w:tc>
          <w:tcPr>
            <w:tcW w:w="940" w:type="dxa"/>
            <w:vAlign w:val="bottom"/>
            <w:tcBorders>
              <w:bottom w:val="single" w:sz="8" w:color="E6E6E6"/>
            </w:tcBorders>
          </w:tcPr>
          <w:p>
            <w:pPr>
              <w:jc w:val="right"/>
              <w:ind w:right="33"/>
              <w:spacing w:after="0"/>
              <w:rPr>
                <w:sz w:val="20"/>
                <w:szCs w:val="20"/>
                <w:color w:val="auto"/>
              </w:rPr>
            </w:pPr>
            <w:r>
              <w:rPr>
                <w:rFonts w:ascii="Arial" w:cs="Arial" w:eastAsia="Arial" w:hAnsi="Arial"/>
                <w:sz w:val="13"/>
                <w:szCs w:val="13"/>
                <w:color w:val="auto"/>
              </w:rPr>
              <w:t>2,460,349</w:t>
            </w:r>
          </w:p>
        </w:tc>
        <w:tc>
          <w:tcPr>
            <w:tcW w:w="940" w:type="dxa"/>
            <w:vAlign w:val="bottom"/>
            <w:tcBorders>
              <w:bottom w:val="single" w:sz="8" w:color="E6E6E6"/>
            </w:tcBorders>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900" w:type="dxa"/>
            <w:vAlign w:val="bottom"/>
            <w:tcBorders>
              <w:bottom w:val="single" w:sz="8" w:color="E6E6E6"/>
            </w:tcBorders>
          </w:tcPr>
          <w:p>
            <w:pPr>
              <w:ind w:left="80"/>
              <w:spacing w:after="0"/>
              <w:rPr>
                <w:sz w:val="20"/>
                <w:szCs w:val="20"/>
                <w:color w:val="auto"/>
              </w:rPr>
            </w:pPr>
            <w:r>
              <w:rPr>
                <w:rFonts w:ascii="Arial" w:cs="Arial" w:eastAsia="Arial" w:hAnsi="Arial"/>
                <w:sz w:val="13"/>
                <w:szCs w:val="13"/>
                <w:b w:val="1"/>
                <w:bCs w:val="1"/>
                <w:color w:val="431C5B"/>
              </w:rPr>
              <w:t>Toohey</w:t>
            </w:r>
          </w:p>
        </w:tc>
        <w:tc>
          <w:tcPr>
            <w:tcW w:w="82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02/28/2025</w:t>
            </w:r>
          </w:p>
        </w:tc>
        <w:tc>
          <w:tcPr>
            <w:tcW w:w="900" w:type="dxa"/>
            <w:vAlign w:val="bottom"/>
            <w:tcBorders>
              <w:bottom w:val="single" w:sz="8" w:color="E6E6E6"/>
            </w:tcBorders>
          </w:tcPr>
          <w:p>
            <w:pPr>
              <w:spacing w:after="0"/>
              <w:rPr>
                <w:sz w:val="16"/>
                <w:szCs w:val="16"/>
                <w:color w:val="auto"/>
              </w:rPr>
            </w:pPr>
          </w:p>
        </w:tc>
        <w:tc>
          <w:tcPr>
            <w:tcW w:w="1080" w:type="dxa"/>
            <w:vAlign w:val="bottom"/>
            <w:tcBorders>
              <w:bottom w:val="single" w:sz="8" w:color="E6E6E6"/>
            </w:tcBorders>
          </w:tcPr>
          <w:p>
            <w:pPr>
              <w:spacing w:after="0"/>
              <w:rPr>
                <w:sz w:val="16"/>
                <w:szCs w:val="16"/>
                <w:color w:val="auto"/>
              </w:rPr>
            </w:pPr>
          </w:p>
        </w:tc>
        <w:tc>
          <w:tcPr>
            <w:tcW w:w="68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c>
          <w:tcPr>
            <w:tcW w:w="80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21,661</w:t>
            </w:r>
          </w:p>
        </w:tc>
        <w:tc>
          <w:tcPr>
            <w:tcW w:w="940" w:type="dxa"/>
            <w:vAlign w:val="bottom"/>
            <w:tcBorders>
              <w:bottom w:val="single" w:sz="8" w:color="E6E6E6"/>
            </w:tcBorders>
          </w:tcPr>
          <w:p>
            <w:pPr>
              <w:jc w:val="right"/>
              <w:ind w:right="33"/>
              <w:spacing w:after="0"/>
              <w:rPr>
                <w:sz w:val="20"/>
                <w:szCs w:val="20"/>
                <w:color w:val="auto"/>
              </w:rPr>
            </w:pPr>
            <w:r>
              <w:rPr>
                <w:rFonts w:ascii="Arial" w:cs="Arial" w:eastAsia="Arial" w:hAnsi="Arial"/>
                <w:sz w:val="13"/>
                <w:szCs w:val="13"/>
                <w:color w:val="auto"/>
              </w:rPr>
              <w:t>1,439,590</w:t>
            </w:r>
          </w:p>
        </w:tc>
        <w:tc>
          <w:tcPr>
            <w:tcW w:w="940" w:type="dxa"/>
            <w:vAlign w:val="bottom"/>
            <w:tcBorders>
              <w:bottom w:val="single" w:sz="8" w:color="E6E6E6"/>
            </w:tcBorders>
          </w:tcPr>
          <w:p>
            <w:pPr>
              <w:jc w:val="right"/>
              <w:ind w:right="14"/>
              <w:spacing w:after="0"/>
              <w:rPr>
                <w:sz w:val="20"/>
                <w:szCs w:val="20"/>
                <w:color w:val="auto"/>
              </w:rPr>
            </w:pPr>
            <w:r>
              <w:rPr>
                <w:rFonts w:ascii="Arial" w:cs="Arial" w:eastAsia="Arial" w:hAnsi="Arial"/>
                <w:sz w:val="13"/>
                <w:szCs w:val="13"/>
                <w:color w:val="auto"/>
              </w:rPr>
              <w:t>27,998</w:t>
            </w:r>
          </w:p>
        </w:tc>
        <w:tc>
          <w:tcPr>
            <w:tcW w:w="86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1,860,747</w:t>
            </w:r>
          </w:p>
        </w:tc>
      </w:tr>
      <w:tr>
        <w:trPr>
          <w:trHeight w:val="176"/>
        </w:trPr>
        <w:tc>
          <w:tcPr>
            <w:tcW w:w="90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3"/>
                <w:szCs w:val="13"/>
                <w:b w:val="1"/>
                <w:bCs w:val="1"/>
                <w:color w:val="431C5B"/>
              </w:rPr>
              <w:t>Caroline</w:t>
            </w: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02/28/2022</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45,029</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95.23</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02/28/2029</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900" w:type="dxa"/>
            <w:vAlign w:val="bottom"/>
            <w:tcBorders>
              <w:bottom w:val="single" w:sz="8" w:color="EDFAEC"/>
            </w:tcBorders>
            <w:shd w:val="clear" w:color="auto" w:fill="EDFAEC"/>
          </w:tcPr>
          <w:p>
            <w:pPr>
              <w:ind w:left="80"/>
              <w:spacing w:after="0"/>
              <w:rPr>
                <w:sz w:val="20"/>
                <w:szCs w:val="20"/>
                <w:color w:val="auto"/>
              </w:rPr>
            </w:pPr>
            <w:r>
              <w:rPr>
                <w:rFonts w:ascii="Arial" w:cs="Arial" w:eastAsia="Arial" w:hAnsi="Arial"/>
                <w:sz w:val="13"/>
                <w:szCs w:val="13"/>
                <w:b w:val="1"/>
                <w:bCs w:val="1"/>
                <w:color w:val="431C5B"/>
              </w:rPr>
              <w:t>Tsai</w:t>
            </w: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02/28/2023</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26,915</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13,458</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72.88</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02/28/2030</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17,517</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1,164,180</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900" w:type="dxa"/>
            <w:vAlign w:val="bottom"/>
            <w:tcBorders>
              <w:bottom w:val="single" w:sz="8" w:color="EDFAEC"/>
            </w:tcBorders>
            <w:shd w:val="clear" w:color="auto" w:fill="EDFAEC"/>
          </w:tcPr>
          <w:p>
            <w:pPr>
              <w:spacing w:after="0"/>
              <w:rPr>
                <w:sz w:val="15"/>
                <w:szCs w:val="15"/>
                <w:color w:val="auto"/>
              </w:rPr>
            </w:pP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02/28/2023</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30,069</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15,035</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79.21</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02/28/2030</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900" w:type="dxa"/>
            <w:vAlign w:val="bottom"/>
            <w:tcBorders>
              <w:bottom w:val="single" w:sz="8" w:color="EDFAEC"/>
            </w:tcBorders>
            <w:shd w:val="clear" w:color="auto" w:fill="EDFAEC"/>
          </w:tcPr>
          <w:p>
            <w:pPr>
              <w:spacing w:after="0"/>
              <w:rPr>
                <w:sz w:val="15"/>
                <w:szCs w:val="15"/>
                <w:color w:val="auto"/>
              </w:rPr>
            </w:pP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02/28/2023</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31,733</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15,867</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82.38</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02/28/2030</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900" w:type="dxa"/>
            <w:vAlign w:val="bottom"/>
            <w:tcBorders>
              <w:bottom w:val="single" w:sz="8" w:color="EDFAEC"/>
            </w:tcBorders>
            <w:shd w:val="clear" w:color="auto" w:fill="EDFAEC"/>
          </w:tcPr>
          <w:p>
            <w:pPr>
              <w:spacing w:after="0"/>
              <w:rPr>
                <w:sz w:val="15"/>
                <w:szCs w:val="15"/>
                <w:color w:val="auto"/>
              </w:rPr>
            </w:pPr>
          </w:p>
        </w:tc>
        <w:tc>
          <w:tcPr>
            <w:tcW w:w="82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03/08/2024</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60,859</w:t>
            </w:r>
          </w:p>
        </w:tc>
        <w:tc>
          <w:tcPr>
            <w:tcW w:w="940" w:type="dxa"/>
            <w:vAlign w:val="bottom"/>
            <w:tcBorders>
              <w:bottom w:val="single" w:sz="8" w:color="E6E6E6"/>
            </w:tcBorders>
            <w:shd w:val="clear" w:color="auto" w:fill="EDFAEC"/>
          </w:tcPr>
          <w:p>
            <w:pPr>
              <w:jc w:val="right"/>
              <w:ind w:right="33"/>
              <w:spacing w:after="0"/>
              <w:rPr>
                <w:sz w:val="20"/>
                <w:szCs w:val="20"/>
                <w:color w:val="auto"/>
              </w:rPr>
            </w:pPr>
            <w:r>
              <w:rPr>
                <w:rFonts w:ascii="Arial" w:cs="Arial" w:eastAsia="Arial" w:hAnsi="Arial"/>
                <w:sz w:val="13"/>
                <w:szCs w:val="13"/>
                <w:color w:val="auto"/>
              </w:rPr>
              <w:t>4,044,689</w:t>
            </w:r>
          </w:p>
        </w:tc>
        <w:tc>
          <w:tcPr>
            <w:tcW w:w="940" w:type="dxa"/>
            <w:vAlign w:val="bottom"/>
            <w:tcBorders>
              <w:bottom w:val="single" w:sz="8" w:color="E6E6E6"/>
            </w:tcBorders>
            <w:shd w:val="clear" w:color="auto" w:fill="EDFAEC"/>
          </w:tcPr>
          <w:p>
            <w:pPr>
              <w:jc w:val="right"/>
              <w:ind w:right="14"/>
              <w:spacing w:after="0"/>
              <w:rPr>
                <w:sz w:val="20"/>
                <w:szCs w:val="20"/>
                <w:color w:val="auto"/>
              </w:rPr>
            </w:pPr>
            <w:r>
              <w:rPr>
                <w:rFonts w:ascii="Arial" w:cs="Arial" w:eastAsia="Arial" w:hAnsi="Arial"/>
                <w:sz w:val="13"/>
                <w:szCs w:val="13"/>
                <w:color w:val="auto"/>
              </w:rPr>
              <w:t>16,872</w:t>
            </w:r>
          </w:p>
        </w:tc>
        <w:tc>
          <w:tcPr>
            <w:tcW w:w="8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3"/>
                <w:szCs w:val="13"/>
                <w:color w:val="auto"/>
              </w:rPr>
              <w:t>1,121,313</w:t>
            </w:r>
          </w:p>
        </w:tc>
      </w:tr>
      <w:tr>
        <w:trPr>
          <w:trHeight w:val="183"/>
        </w:trPr>
        <w:tc>
          <w:tcPr>
            <w:tcW w:w="900" w:type="dxa"/>
            <w:vAlign w:val="bottom"/>
            <w:tcBorders>
              <w:bottom w:val="single" w:sz="8" w:color="431C5B"/>
            </w:tcBorders>
            <w:shd w:val="clear" w:color="auto" w:fill="EDFAEC"/>
          </w:tcPr>
          <w:p>
            <w:pPr>
              <w:spacing w:after="0"/>
              <w:rPr>
                <w:sz w:val="15"/>
                <w:szCs w:val="15"/>
                <w:color w:val="auto"/>
              </w:rPr>
            </w:pPr>
          </w:p>
        </w:tc>
        <w:tc>
          <w:tcPr>
            <w:tcW w:w="82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3"/>
                <w:szCs w:val="13"/>
                <w:color w:val="auto"/>
              </w:rPr>
              <w:t>02/28/2025</w:t>
            </w:r>
          </w:p>
        </w:tc>
        <w:tc>
          <w:tcPr>
            <w:tcW w:w="900" w:type="dxa"/>
            <w:vAlign w:val="bottom"/>
            <w:tcBorders>
              <w:bottom w:val="single" w:sz="8" w:color="431C5B"/>
            </w:tcBorders>
            <w:shd w:val="clear" w:color="auto" w:fill="EDFAEC"/>
          </w:tcPr>
          <w:p>
            <w:pPr>
              <w:spacing w:after="0"/>
              <w:rPr>
                <w:sz w:val="15"/>
                <w:szCs w:val="15"/>
                <w:color w:val="auto"/>
              </w:rPr>
            </w:pPr>
          </w:p>
        </w:tc>
        <w:tc>
          <w:tcPr>
            <w:tcW w:w="1080" w:type="dxa"/>
            <w:vAlign w:val="bottom"/>
            <w:tcBorders>
              <w:bottom w:val="single" w:sz="8" w:color="431C5B"/>
            </w:tcBorders>
            <w:shd w:val="clear" w:color="auto" w:fill="EDFAEC"/>
          </w:tcPr>
          <w:p>
            <w:pPr>
              <w:spacing w:after="0"/>
              <w:rPr>
                <w:sz w:val="15"/>
                <w:szCs w:val="15"/>
                <w:color w:val="auto"/>
              </w:rPr>
            </w:pPr>
          </w:p>
        </w:tc>
        <w:tc>
          <w:tcPr>
            <w:tcW w:w="680" w:type="dxa"/>
            <w:vAlign w:val="bottom"/>
            <w:tcBorders>
              <w:bottom w:val="single" w:sz="8" w:color="431C5B"/>
            </w:tcBorders>
            <w:shd w:val="clear" w:color="auto" w:fill="EDFAEC"/>
          </w:tcPr>
          <w:p>
            <w:pPr>
              <w:spacing w:after="0"/>
              <w:rPr>
                <w:sz w:val="15"/>
                <w:szCs w:val="15"/>
                <w:color w:val="auto"/>
              </w:rPr>
            </w:pPr>
          </w:p>
        </w:tc>
        <w:tc>
          <w:tcPr>
            <w:tcW w:w="840" w:type="dxa"/>
            <w:vAlign w:val="bottom"/>
            <w:tcBorders>
              <w:bottom w:val="single" w:sz="8" w:color="431C5B"/>
            </w:tcBorders>
            <w:shd w:val="clear" w:color="auto" w:fill="EDFAEC"/>
          </w:tcPr>
          <w:p>
            <w:pPr>
              <w:spacing w:after="0"/>
              <w:rPr>
                <w:sz w:val="15"/>
                <w:szCs w:val="15"/>
                <w:color w:val="auto"/>
              </w:rPr>
            </w:pPr>
          </w:p>
        </w:tc>
        <w:tc>
          <w:tcPr>
            <w:tcW w:w="80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3"/>
                <w:szCs w:val="13"/>
                <w:color w:val="auto"/>
              </w:rPr>
              <w:t>28,881</w:t>
            </w:r>
          </w:p>
        </w:tc>
        <w:tc>
          <w:tcPr>
            <w:tcW w:w="940" w:type="dxa"/>
            <w:vAlign w:val="bottom"/>
            <w:tcBorders>
              <w:bottom w:val="single" w:sz="8" w:color="431C5B"/>
            </w:tcBorders>
            <w:shd w:val="clear" w:color="auto" w:fill="EDFAEC"/>
          </w:tcPr>
          <w:p>
            <w:pPr>
              <w:jc w:val="right"/>
              <w:ind w:right="33"/>
              <w:spacing w:after="0"/>
              <w:rPr>
                <w:sz w:val="20"/>
                <w:szCs w:val="20"/>
                <w:color w:val="auto"/>
              </w:rPr>
            </w:pPr>
            <w:r>
              <w:rPr>
                <w:rFonts w:ascii="Arial" w:cs="Arial" w:eastAsia="Arial" w:hAnsi="Arial"/>
                <w:sz w:val="13"/>
                <w:szCs w:val="13"/>
                <w:color w:val="auto"/>
              </w:rPr>
              <w:t>1,919,431</w:t>
            </w:r>
          </w:p>
        </w:tc>
        <w:tc>
          <w:tcPr>
            <w:tcW w:w="940" w:type="dxa"/>
            <w:vAlign w:val="bottom"/>
            <w:tcBorders>
              <w:bottom w:val="single" w:sz="8" w:color="431C5B"/>
            </w:tcBorders>
            <w:shd w:val="clear" w:color="auto" w:fill="EDFAEC"/>
          </w:tcPr>
          <w:p>
            <w:pPr>
              <w:jc w:val="right"/>
              <w:ind w:right="14"/>
              <w:spacing w:after="0"/>
              <w:rPr>
                <w:sz w:val="20"/>
                <w:szCs w:val="20"/>
                <w:color w:val="auto"/>
              </w:rPr>
            </w:pPr>
            <w:r>
              <w:rPr>
                <w:rFonts w:ascii="Arial" w:cs="Arial" w:eastAsia="Arial" w:hAnsi="Arial"/>
                <w:sz w:val="13"/>
                <w:szCs w:val="13"/>
                <w:color w:val="auto"/>
              </w:rPr>
              <w:t>37,329</w:t>
            </w:r>
          </w:p>
        </w:tc>
        <w:tc>
          <w:tcPr>
            <w:tcW w:w="86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3"/>
                <w:szCs w:val="13"/>
                <w:color w:val="auto"/>
              </w:rPr>
              <w:t>2,480,885</w:t>
            </w:r>
          </w:p>
        </w:tc>
      </w:tr>
    </w:tbl>
    <w:p>
      <w:pPr>
        <w:spacing w:after="0" w:line="140" w:lineRule="exact"/>
        <w:rPr>
          <w:sz w:val="20"/>
          <w:szCs w:val="20"/>
          <w:color w:val="auto"/>
        </w:rPr>
      </w:pPr>
    </w:p>
    <w:p>
      <w:pPr>
        <w:ind w:left="380" w:hanging="250"/>
        <w:spacing w:after="0"/>
        <w:tabs>
          <w:tab w:leader="none" w:pos="380" w:val="left"/>
        </w:tabs>
        <w:numPr>
          <w:ilvl w:val="0"/>
          <w:numId w:val="102"/>
        </w:numPr>
        <w:rPr>
          <w:rFonts w:ascii="Arial" w:cs="Arial" w:eastAsia="Arial" w:hAnsi="Arial"/>
          <w:sz w:val="16"/>
          <w:szCs w:val="16"/>
          <w:color w:val="auto"/>
          <w:vertAlign w:val="superscript"/>
        </w:rPr>
      </w:pPr>
      <w:r>
        <w:rPr>
          <w:rFonts w:ascii="Arial" w:cs="Arial" w:eastAsia="Arial" w:hAnsi="Arial"/>
          <w:sz w:val="13"/>
          <w:szCs w:val="13"/>
          <w:color w:val="auto"/>
        </w:rPr>
        <w:t>The stock options vest ratably over a three-year period on each anniversary date of the grant.</w:t>
      </w:r>
    </w:p>
    <w:p>
      <w:pPr>
        <w:spacing w:after="0" w:line="43" w:lineRule="exact"/>
        <w:rPr>
          <w:rFonts w:ascii="Arial" w:cs="Arial" w:eastAsia="Arial" w:hAnsi="Arial"/>
          <w:sz w:val="16"/>
          <w:szCs w:val="16"/>
          <w:color w:val="auto"/>
          <w:vertAlign w:val="superscript"/>
        </w:rPr>
      </w:pPr>
    </w:p>
    <w:p>
      <w:pPr>
        <w:ind w:left="380" w:right="239" w:hanging="250"/>
        <w:spacing w:after="0" w:line="255" w:lineRule="auto"/>
        <w:tabs>
          <w:tab w:leader="none" w:pos="380" w:val="left"/>
        </w:tabs>
        <w:numPr>
          <w:ilvl w:val="0"/>
          <w:numId w:val="102"/>
        </w:numPr>
        <w:rPr>
          <w:rFonts w:ascii="Arial" w:cs="Arial" w:eastAsia="Arial" w:hAnsi="Arial"/>
          <w:sz w:val="15"/>
          <w:szCs w:val="15"/>
          <w:color w:val="auto"/>
          <w:vertAlign w:val="superscript"/>
        </w:rPr>
      </w:pPr>
      <w:r>
        <w:rPr>
          <w:rFonts w:ascii="Arial" w:cs="Arial" w:eastAsia="Arial" w:hAnsi="Arial"/>
          <w:sz w:val="12"/>
          <w:szCs w:val="12"/>
          <w:color w:val="auto"/>
        </w:rPr>
        <w:t>The restricted stock units granted on February 28, 2023 and February 28, 2025 vest ratably over a three-year period on each anniversary date of the grant. The restricted stock units granted on March 8, 2024 vest ratably over a three-year period on February 28, 2025, February 28, 2026 and February 28, 2027. For Mr. Bhathena and Ms. Tsai, the PSUs granted on March 8, 2024 vest in full after three years based on the Company's annual Adjusted Revenue Growth and annual Adjusted EPS Growth. For Mr. Bhathena and Ms. Tsai, the number reported in this column includes 150% of the target number of March 8, 2024 PSUs for the first measurement year which ended December 31, 2024 and 200% of the target number of PSUs for the second measurement year which ended December 31, 2025. For Ms. Ferris and Mr. Kehoe, the PSUs granted on March 8, 2024 vest in full after three years based on the Company's annual Adjusted Revenue Growth and annual Adjusted EPS Growth with a potential modification based on the Company's cumulative relative TSR performance against the S&amp;P 500 Index for the three-year performance period (2024-2026). Because their March 8, 2024 PSU grants include the rTSR modifier, their PSUs for the first and second measurement years of this grant are included in the “Equity Incentive Plan Awards; Number of Unearned Shares, Units or Other Rights That Have Not Vested” column as described in note (4) below.</w:t>
      </w:r>
    </w:p>
    <w:p>
      <w:pPr>
        <w:spacing w:after="0" w:line="29" w:lineRule="exact"/>
        <w:rPr>
          <w:rFonts w:ascii="Arial" w:cs="Arial" w:eastAsia="Arial" w:hAnsi="Arial"/>
          <w:sz w:val="15"/>
          <w:szCs w:val="15"/>
          <w:color w:val="auto"/>
          <w:vertAlign w:val="superscript"/>
        </w:rPr>
      </w:pPr>
    </w:p>
    <w:p>
      <w:pPr>
        <w:ind w:left="380" w:right="159" w:hanging="250"/>
        <w:spacing w:after="0" w:line="226" w:lineRule="auto"/>
        <w:tabs>
          <w:tab w:leader="none" w:pos="380" w:val="left"/>
        </w:tabs>
        <w:numPr>
          <w:ilvl w:val="0"/>
          <w:numId w:val="102"/>
        </w:numPr>
        <w:rPr>
          <w:rFonts w:ascii="Arial" w:cs="Arial" w:eastAsia="Arial" w:hAnsi="Arial"/>
          <w:sz w:val="16"/>
          <w:szCs w:val="16"/>
          <w:color w:val="auto"/>
          <w:vertAlign w:val="superscript"/>
        </w:rPr>
      </w:pPr>
      <w:r>
        <w:rPr>
          <w:rFonts w:ascii="Arial" w:cs="Arial" w:eastAsia="Arial" w:hAnsi="Arial"/>
          <w:sz w:val="13"/>
          <w:szCs w:val="13"/>
          <w:color w:val="auto"/>
        </w:rPr>
        <w:t>Market value of unvested time-based restricted stock units or earned unvested performance stock units based on a closing price of $66.46 for a share of our common stock on the NYSE on December 31, 2025.</w:t>
      </w:r>
    </w:p>
    <w:p>
      <w:pPr>
        <w:spacing w:after="0" w:line="36" w:lineRule="exact"/>
        <w:rPr>
          <w:rFonts w:ascii="Arial" w:cs="Arial" w:eastAsia="Arial" w:hAnsi="Arial"/>
          <w:sz w:val="16"/>
          <w:szCs w:val="16"/>
          <w:color w:val="auto"/>
          <w:vertAlign w:val="superscript"/>
        </w:rPr>
      </w:pPr>
    </w:p>
    <w:p>
      <w:pPr>
        <w:ind w:left="380" w:right="159" w:hanging="250"/>
        <w:spacing w:after="0" w:line="236" w:lineRule="auto"/>
        <w:tabs>
          <w:tab w:leader="none" w:pos="380" w:val="left"/>
        </w:tabs>
        <w:numPr>
          <w:ilvl w:val="0"/>
          <w:numId w:val="102"/>
        </w:numPr>
        <w:rPr>
          <w:rFonts w:ascii="Arial" w:cs="Arial" w:eastAsia="Arial" w:hAnsi="Arial"/>
          <w:sz w:val="16"/>
          <w:szCs w:val="16"/>
          <w:color w:val="auto"/>
          <w:vertAlign w:val="superscript"/>
        </w:rPr>
      </w:pPr>
      <w:r>
        <w:rPr>
          <w:rFonts w:ascii="Arial" w:cs="Arial" w:eastAsia="Arial" w:hAnsi="Arial"/>
          <w:sz w:val="13"/>
          <w:szCs w:val="13"/>
          <w:color w:val="auto"/>
        </w:rPr>
        <w:t>With respect to PSU grants to Ms. Ferris and Mr. Kehoe on March 8, 2024, this number includes 150% of the target number of PSUs for the first measurement year which ended December 31, 2024 and 200% of the target number of PSUs for the second measurement year which ended December 31, 2025. The March 8, 2024 PSUs awarded to Ms. Ferris and Mr. Kehoe vest in full after three years based on the Company's annual Adjusted Revenue Growth and annual Adjusted EPS Growth, with a potential modification based on the Company's relative TSR performance which will be applied at the end of 2026, under which the percentage of the target shares earned under the annual Adjusted Revenue Growth and annual Adjusted EPS Growth metrics is subject to potential adjustment by +/25% based on the Company’s cumulative TSR relative to the S&amp;P 500 Index over the three-year performance period (2024-2026). Based on rTSR through December 31, 2025, these awards are tracking at no adjustment pursuant to the rTSR modifier, which is reflected in the 150% for the 2024 measurement year and the 200% for the 2025 measurement year. In accordance with SEC disclosure rules, the portion of the PSUs granted on March 8, 2024 that is attributable to the 2026 measurement year is presented assuming maximum performance for that measurement year (with no adjustment for rTSR for Ms. Ferris and Mr. Kehoe based on the Company’s TSR relative to the S&amp;P 500 Index from January 1, 2024 through December 31, 2025). The 2024 performance stock units remain subject to a time-based vesting requirement and will vest in full on February 28, 2027.</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75</w:t>
      </w:r>
    </w:p>
    <w:p>
      <w:pPr>
        <w:sectPr>
          <w:pgSz w:w="11900" w:h="16838" w:orient="portrait"/>
          <w:cols w:equalWidth="0" w:num="1">
            <w:col w:w="9019"/>
          </w:cols>
          <w:pgMar w:left="1440" w:top="657" w:right="1440" w:bottom="1440" w:gutter="0" w:footer="0" w:header="0"/>
          <w:type w:val="continuous"/>
        </w:sectPr>
      </w:pPr>
    </w:p>
    <w:bookmarkStart w:id="78" w:name="page79"/>
    <w:bookmarkEnd w:id="78"/>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200" w:lineRule="exact"/>
        <w:rPr>
          <w:sz w:val="20"/>
          <w:szCs w:val="20"/>
          <w:color w:val="auto"/>
        </w:rPr>
      </w:pPr>
    </w:p>
    <w:p>
      <w:pPr>
        <w:spacing w:after="0" w:line="211" w:lineRule="exact"/>
        <w:rPr>
          <w:sz w:val="20"/>
          <w:szCs w:val="20"/>
          <w:color w:val="auto"/>
        </w:rPr>
      </w:pPr>
    </w:p>
    <w:p>
      <w:pPr>
        <w:ind w:left="380" w:right="219"/>
        <w:spacing w:after="0" w:line="268" w:lineRule="auto"/>
        <w:rPr>
          <w:sz w:val="20"/>
          <w:szCs w:val="20"/>
          <w:color w:val="auto"/>
        </w:rPr>
      </w:pPr>
      <w:r>
        <w:rPr>
          <w:rFonts w:ascii="Arial" w:cs="Arial" w:eastAsia="Arial" w:hAnsi="Arial"/>
          <w:sz w:val="12"/>
          <w:szCs w:val="12"/>
          <w:color w:val="auto"/>
        </w:rPr>
        <w:t>With respect to the February 28, 2025 PSU grants to all NEOs, this number includes 87.75% of the target number of PSUs for the first measurement year which ended December 31, 2025. The February 28, 2025 PSUs awarded to all NEOs vest in full after three years based on the Company's annual Adjusted Revenue Growth and annual Adjusted EPS Growth, with a potential modification based on the Company's relative TSR performance which will be applied at the end of 2027, under which the percentage of the target shares earned under the annual Adjusted Revenue Growth and annual Adjusted EPS Growth metrics is subject to potential adjustment by +/25% based on the Company’s cumulative TSR relative to the S&amp;P 500 Index over the three-year performance period (2025-2027). Based on rTSR through December 31, 2025, these awards are tracking at a -25% adjustment pursuant to the rTSR modifier, which is reflected in the 87.75% for the 2025 measurement year. In accordance with SEC disclosure rules, the portion of the PSUs granted on February 28, 2025 that is attributable to the 2026 and 2027 measurement years is presented assuming maximum performance for those measurement years (with a -25% adjustment based on the Company’s TSR relative to the S&amp;P 500 Index from January 1, 2025 through December 31, 2025). The 2025 PSUs remain subject to a time-based vesting requirement and will vest in full on February 28, 2028.</w:t>
      </w:r>
    </w:p>
    <w:p>
      <w:pPr>
        <w:spacing w:after="0" w:line="25" w:lineRule="exact"/>
        <w:rPr>
          <w:sz w:val="20"/>
          <w:szCs w:val="20"/>
          <w:color w:val="auto"/>
        </w:rPr>
      </w:pPr>
    </w:p>
    <w:p>
      <w:pPr>
        <w:ind w:left="380" w:right="999" w:hanging="250"/>
        <w:spacing w:after="0" w:line="226" w:lineRule="auto"/>
        <w:tabs>
          <w:tab w:leader="none" w:pos="380" w:val="left"/>
        </w:tabs>
        <w:numPr>
          <w:ilvl w:val="0"/>
          <w:numId w:val="103"/>
        </w:numPr>
        <w:rPr>
          <w:rFonts w:ascii="Arial" w:cs="Arial" w:eastAsia="Arial" w:hAnsi="Arial"/>
          <w:sz w:val="16"/>
          <w:szCs w:val="16"/>
          <w:color w:val="auto"/>
          <w:vertAlign w:val="superscript"/>
        </w:rPr>
      </w:pPr>
      <w:r>
        <w:rPr>
          <w:rFonts w:ascii="Arial" w:cs="Arial" w:eastAsia="Arial" w:hAnsi="Arial"/>
          <w:sz w:val="13"/>
          <w:szCs w:val="13"/>
          <w:color w:val="auto"/>
        </w:rPr>
        <w:t>Market value of unvested performance stock units is based on a closing price of $66.46 for a share of our common stock on the NYSE on December 31, 2025.</w:t>
      </w:r>
    </w:p>
    <w:p>
      <w:pPr>
        <w:spacing w:after="0" w:line="36" w:lineRule="exact"/>
        <w:rPr>
          <w:rFonts w:ascii="Arial" w:cs="Arial" w:eastAsia="Arial" w:hAnsi="Arial"/>
          <w:sz w:val="16"/>
          <w:szCs w:val="16"/>
          <w:color w:val="auto"/>
          <w:vertAlign w:val="superscript"/>
        </w:rPr>
      </w:pPr>
    </w:p>
    <w:p>
      <w:pPr>
        <w:ind w:left="380" w:right="239" w:hanging="250"/>
        <w:spacing w:after="0" w:line="236" w:lineRule="auto"/>
        <w:tabs>
          <w:tab w:leader="none" w:pos="380" w:val="left"/>
        </w:tabs>
        <w:numPr>
          <w:ilvl w:val="0"/>
          <w:numId w:val="103"/>
        </w:numPr>
        <w:rPr>
          <w:rFonts w:ascii="Arial" w:cs="Arial" w:eastAsia="Arial" w:hAnsi="Arial"/>
          <w:sz w:val="16"/>
          <w:szCs w:val="16"/>
          <w:color w:val="auto"/>
          <w:vertAlign w:val="superscript"/>
        </w:rPr>
      </w:pPr>
      <w:r>
        <w:rPr>
          <w:rFonts w:ascii="Arial" w:cs="Arial" w:eastAsia="Arial" w:hAnsi="Arial"/>
          <w:sz w:val="13"/>
          <w:szCs w:val="13"/>
          <w:color w:val="auto"/>
        </w:rPr>
        <w:t>In connection with his resignation, Mr. Bhathena forfeited his outstanding RSUs, PSUs and unvested options and will have three months to exercise his vested options.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2025 Option Exercises and Stock Vested</w:t>
      </w:r>
    </w:p>
    <w:p>
      <w:pPr>
        <w:spacing w:after="0" w:line="107" w:lineRule="exact"/>
        <w:rPr>
          <w:sz w:val="20"/>
          <w:szCs w:val="20"/>
          <w:color w:val="auto"/>
        </w:rPr>
      </w:pPr>
    </w:p>
    <w:p>
      <w:pPr>
        <w:ind w:left="140" w:right="259"/>
        <w:spacing w:after="0" w:line="292" w:lineRule="auto"/>
        <w:rPr>
          <w:sz w:val="20"/>
          <w:szCs w:val="20"/>
          <w:color w:val="auto"/>
        </w:rPr>
      </w:pPr>
      <w:r>
        <w:rPr>
          <w:rFonts w:ascii="Arial" w:cs="Arial" w:eastAsia="Arial" w:hAnsi="Arial"/>
          <w:sz w:val="16"/>
          <w:szCs w:val="16"/>
          <w:color w:val="auto"/>
        </w:rPr>
        <w:t>The following table sets forth information concerning each exercise of stock options, stock appreciation rights and similar instruments and each vesting of stock, including restricted stock, restricted stock units, performance stock units and similar instruments, during the fiscal year ended December 31, 2025, for each of the NEOs on an aggregated basis: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080" w:type="dxa"/>
            <w:vAlign w:val="bottom"/>
            <w:tcBorders>
              <w:bottom w:val="single" w:sz="8" w:color="431C5B"/>
            </w:tcBorders>
          </w:tcPr>
          <w:p>
            <w:pPr>
              <w:jc w:val="center"/>
              <w:ind w:left="984"/>
              <w:spacing w:after="0"/>
              <w:rPr>
                <w:sz w:val="20"/>
                <w:szCs w:val="20"/>
                <w:color w:val="auto"/>
              </w:rPr>
            </w:pPr>
            <w:r>
              <w:rPr>
                <w:rFonts w:ascii="Arial" w:cs="Arial" w:eastAsia="Arial" w:hAnsi="Arial"/>
                <w:sz w:val="14"/>
                <w:szCs w:val="14"/>
                <w:b w:val="1"/>
                <w:bCs w:val="1"/>
                <w:color w:val="431C5B"/>
              </w:rPr>
              <w:t>Option Awards</w:t>
            </w:r>
          </w:p>
        </w:tc>
        <w:tc>
          <w:tcPr>
            <w:tcW w:w="1040" w:type="dxa"/>
            <w:vAlign w:val="bottom"/>
            <w:tcBorders>
              <w:bottom w:val="single" w:sz="8" w:color="431C5B"/>
            </w:tcBorders>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tcBorders>
              <w:bottom w:val="single" w:sz="8" w:color="431C5B"/>
            </w:tcBorders>
            <w:gridSpan w:val="2"/>
          </w:tcPr>
          <w:p>
            <w:pPr>
              <w:jc w:val="right"/>
              <w:ind w:right="942"/>
              <w:spacing w:after="0"/>
              <w:rPr>
                <w:sz w:val="20"/>
                <w:szCs w:val="20"/>
                <w:color w:val="auto"/>
              </w:rPr>
            </w:pPr>
            <w:r>
              <w:rPr>
                <w:rFonts w:ascii="Arial" w:cs="Arial" w:eastAsia="Arial" w:hAnsi="Arial"/>
                <w:sz w:val="14"/>
                <w:szCs w:val="14"/>
                <w:b w:val="1"/>
                <w:bCs w:val="1"/>
                <w:color w:val="431C5B"/>
              </w:rPr>
              <w:t>Stock Awards</w:t>
            </w:r>
          </w:p>
        </w:tc>
      </w:tr>
      <w:tr>
        <w:trPr>
          <w:trHeight w:val="200"/>
        </w:trPr>
        <w:tc>
          <w:tcPr>
            <w:tcW w:w="2500" w:type="dxa"/>
            <w:vAlign w:val="bottom"/>
          </w:tcPr>
          <w:p>
            <w:pPr>
              <w:spacing w:after="0"/>
              <w:rPr>
                <w:sz w:val="17"/>
                <w:szCs w:val="17"/>
                <w:color w:val="auto"/>
              </w:rPr>
            </w:pPr>
          </w:p>
        </w:tc>
        <w:tc>
          <w:tcPr>
            <w:tcW w:w="2080" w:type="dxa"/>
            <w:vAlign w:val="bottom"/>
          </w:tcPr>
          <w:p>
            <w:pPr>
              <w:jc w:val="right"/>
              <w:ind w:right="364"/>
              <w:spacing w:after="0"/>
              <w:rPr>
                <w:sz w:val="20"/>
                <w:szCs w:val="20"/>
                <w:color w:val="auto"/>
              </w:rPr>
            </w:pPr>
            <w:r>
              <w:rPr>
                <w:rFonts w:ascii="Arial" w:cs="Arial" w:eastAsia="Arial" w:hAnsi="Arial"/>
                <w:sz w:val="14"/>
                <w:szCs w:val="14"/>
                <w:b w:val="1"/>
                <w:bCs w:val="1"/>
                <w:color w:val="431C5B"/>
              </w:rPr>
              <w:t>Number of Shares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ind w:right="144"/>
              <w:spacing w:after="0"/>
              <w:rPr>
                <w:sz w:val="20"/>
                <w:szCs w:val="20"/>
                <w:color w:val="auto"/>
              </w:rPr>
            </w:pPr>
            <w:r>
              <w:rPr>
                <w:rFonts w:ascii="Arial" w:cs="Arial" w:eastAsia="Arial" w:hAnsi="Arial"/>
                <w:sz w:val="14"/>
                <w:szCs w:val="14"/>
                <w:b w:val="1"/>
                <w:bCs w:val="1"/>
                <w:color w:val="431C5B"/>
              </w:rPr>
              <w:t>Number of Shares</w:t>
            </w:r>
          </w:p>
        </w:tc>
        <w:tc>
          <w:tcPr>
            <w:tcW w:w="1260" w:type="dxa"/>
            <w:vAlign w:val="bottom"/>
          </w:tcPr>
          <w:p>
            <w:pPr>
              <w:spacing w:after="0"/>
              <w:rPr>
                <w:sz w:val="17"/>
                <w:szCs w:val="17"/>
                <w:color w:val="auto"/>
              </w:rPr>
            </w:pPr>
          </w:p>
        </w:tc>
      </w:tr>
      <w:tr>
        <w:trPr>
          <w:trHeight w:val="175"/>
        </w:trPr>
        <w:tc>
          <w:tcPr>
            <w:tcW w:w="2500" w:type="dxa"/>
            <w:vAlign w:val="bottom"/>
          </w:tcPr>
          <w:p>
            <w:pPr>
              <w:spacing w:after="0"/>
              <w:rPr>
                <w:sz w:val="15"/>
                <w:szCs w:val="15"/>
                <w:color w:val="auto"/>
              </w:rPr>
            </w:pPr>
          </w:p>
        </w:tc>
        <w:tc>
          <w:tcPr>
            <w:tcW w:w="2080" w:type="dxa"/>
            <w:vAlign w:val="bottom"/>
          </w:tcPr>
          <w:p>
            <w:pPr>
              <w:jc w:val="right"/>
              <w:ind w:right="364"/>
              <w:spacing w:after="0"/>
              <w:rPr>
                <w:sz w:val="20"/>
                <w:szCs w:val="20"/>
                <w:color w:val="auto"/>
              </w:rPr>
            </w:pPr>
            <w:r>
              <w:rPr>
                <w:rFonts w:ascii="Arial" w:cs="Arial" w:eastAsia="Arial" w:hAnsi="Arial"/>
                <w:sz w:val="14"/>
                <w:szCs w:val="14"/>
                <w:b w:val="1"/>
                <w:bCs w:val="1"/>
                <w:color w:val="431C5B"/>
              </w:rPr>
              <w:t>Acquired on</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431C5B"/>
                <w:w w:val="99"/>
              </w:rPr>
              <w:t>Value Realized</w:t>
            </w:r>
          </w:p>
        </w:tc>
        <w:tc>
          <w:tcPr>
            <w:tcW w:w="1700" w:type="dxa"/>
            <w:vAlign w:val="bottom"/>
          </w:tcPr>
          <w:p>
            <w:pPr>
              <w:jc w:val="right"/>
              <w:ind w:right="144"/>
              <w:spacing w:after="0"/>
              <w:rPr>
                <w:sz w:val="20"/>
                <w:szCs w:val="20"/>
                <w:color w:val="auto"/>
              </w:rPr>
            </w:pPr>
            <w:r>
              <w:rPr>
                <w:rFonts w:ascii="Arial" w:cs="Arial" w:eastAsia="Arial" w:hAnsi="Arial"/>
                <w:sz w:val="14"/>
                <w:szCs w:val="14"/>
                <w:b w:val="1"/>
                <w:bCs w:val="1"/>
                <w:color w:val="431C5B"/>
              </w:rPr>
              <w:t>Acquired on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431C5B"/>
              </w:rPr>
              <w:t>Value Realized</w:t>
            </w:r>
          </w:p>
        </w:tc>
      </w:tr>
      <w:tr>
        <w:trPr>
          <w:trHeight w:val="162"/>
        </w:trPr>
        <w:tc>
          <w:tcPr>
            <w:tcW w:w="2500" w:type="dxa"/>
            <w:vAlign w:val="bottom"/>
          </w:tcPr>
          <w:p>
            <w:pPr>
              <w:spacing w:after="0"/>
              <w:rPr>
                <w:sz w:val="14"/>
                <w:szCs w:val="14"/>
                <w:color w:val="auto"/>
              </w:rPr>
            </w:pPr>
          </w:p>
        </w:tc>
        <w:tc>
          <w:tcPr>
            <w:tcW w:w="2080" w:type="dxa"/>
            <w:vAlign w:val="bottom"/>
          </w:tcPr>
          <w:p>
            <w:pPr>
              <w:jc w:val="right"/>
              <w:ind w:right="364"/>
              <w:spacing w:after="0"/>
              <w:rPr>
                <w:sz w:val="20"/>
                <w:szCs w:val="20"/>
                <w:color w:val="auto"/>
              </w:rPr>
            </w:pPr>
            <w:r>
              <w:rPr>
                <w:rFonts w:ascii="Arial" w:cs="Arial" w:eastAsia="Arial" w:hAnsi="Arial"/>
                <w:sz w:val="14"/>
                <w:szCs w:val="14"/>
                <w:b w:val="1"/>
                <w:bCs w:val="1"/>
                <w:color w:val="431C5B"/>
              </w:rPr>
              <w:t>Exercise</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431C5B"/>
              </w:rPr>
              <w:t>on Exercise</w:t>
            </w:r>
          </w:p>
        </w:tc>
        <w:tc>
          <w:tcPr>
            <w:tcW w:w="1700" w:type="dxa"/>
            <w:vAlign w:val="bottom"/>
          </w:tcPr>
          <w:p>
            <w:pPr>
              <w:jc w:val="right"/>
              <w:ind w:right="144"/>
              <w:spacing w:after="0"/>
              <w:rPr>
                <w:sz w:val="20"/>
                <w:szCs w:val="20"/>
                <w:color w:val="auto"/>
              </w:rPr>
            </w:pPr>
            <w:r>
              <w:rPr>
                <w:rFonts w:ascii="Arial" w:cs="Arial" w:eastAsia="Arial" w:hAnsi="Arial"/>
                <w:sz w:val="14"/>
                <w:szCs w:val="14"/>
                <w:b w:val="1"/>
                <w:bCs w:val="1"/>
                <w:color w:val="431C5B"/>
              </w:rPr>
              <w:t>Vesting</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431C5B"/>
              </w:rPr>
              <w:t>on Vesting</w:t>
            </w:r>
          </w:p>
        </w:tc>
      </w:tr>
      <w:tr>
        <w:trPr>
          <w:trHeight w:val="185"/>
        </w:trPr>
        <w:tc>
          <w:tcPr>
            <w:tcW w:w="250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2080" w:type="dxa"/>
            <w:vAlign w:val="bottom"/>
            <w:tcBorders>
              <w:bottom w:val="single" w:sz="8" w:color="431C5B"/>
            </w:tcBorders>
          </w:tcPr>
          <w:p>
            <w:pPr>
              <w:jc w:val="center"/>
              <w:ind w:left="964"/>
              <w:spacing w:after="0"/>
              <w:rPr>
                <w:sz w:val="20"/>
                <w:szCs w:val="20"/>
                <w:color w:val="auto"/>
              </w:rPr>
            </w:pPr>
            <w:r>
              <w:rPr>
                <w:rFonts w:ascii="Arial" w:cs="Arial" w:eastAsia="Arial" w:hAnsi="Arial"/>
                <w:sz w:val="14"/>
                <w:szCs w:val="14"/>
                <w:b w:val="1"/>
                <w:bCs w:val="1"/>
                <w:color w:val="431C5B"/>
                <w:w w:val="93"/>
              </w:rPr>
              <w:t>(#)</w:t>
            </w:r>
          </w:p>
        </w:tc>
        <w:tc>
          <w:tcPr>
            <w:tcW w:w="104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w:t>
            </w:r>
          </w:p>
        </w:tc>
        <w:tc>
          <w:tcPr>
            <w:tcW w:w="180" w:type="dxa"/>
            <w:vAlign w:val="bottom"/>
            <w:tcBorders>
              <w:bottom w:val="single" w:sz="8" w:color="431C5B"/>
            </w:tcBorders>
          </w:tcPr>
          <w:p>
            <w:pPr>
              <w:spacing w:after="0"/>
              <w:rPr>
                <w:sz w:val="16"/>
                <w:szCs w:val="16"/>
                <w:color w:val="auto"/>
              </w:rPr>
            </w:pPr>
          </w:p>
        </w:tc>
        <w:tc>
          <w:tcPr>
            <w:tcW w:w="1700" w:type="dxa"/>
            <w:vAlign w:val="bottom"/>
            <w:tcBorders>
              <w:bottom w:val="single" w:sz="8" w:color="431C5B"/>
            </w:tcBorders>
          </w:tcPr>
          <w:p>
            <w:pPr>
              <w:jc w:val="right"/>
              <w:ind w:right="144"/>
              <w:spacing w:after="0"/>
              <w:rPr>
                <w:sz w:val="20"/>
                <w:szCs w:val="20"/>
                <w:color w:val="auto"/>
              </w:rPr>
            </w:pPr>
            <w:r>
              <w:rPr>
                <w:rFonts w:ascii="Arial" w:cs="Arial" w:eastAsia="Arial" w:hAnsi="Arial"/>
                <w:sz w:val="14"/>
                <w:szCs w:val="14"/>
                <w:b w:val="1"/>
                <w:bCs w:val="1"/>
                <w:color w:val="431C5B"/>
              </w:rPr>
              <w:t>(#)</w:t>
            </w:r>
          </w:p>
        </w:tc>
        <w:tc>
          <w:tcPr>
            <w:tcW w:w="126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w:t>
            </w:r>
          </w:p>
        </w:tc>
      </w:tr>
      <w:tr>
        <w:trPr>
          <w:trHeight w:val="236"/>
        </w:trPr>
        <w:tc>
          <w:tcPr>
            <w:tcW w:w="250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Stephanie L. Ferris</w:t>
            </w:r>
          </w:p>
        </w:tc>
        <w:tc>
          <w:tcPr>
            <w:tcW w:w="2080" w:type="dxa"/>
            <w:vAlign w:val="bottom"/>
            <w:tcBorders>
              <w:bottom w:val="single" w:sz="8" w:color="E6E6E6"/>
            </w:tcBorders>
            <w:shd w:val="clear" w:color="auto" w:fill="EEFAEC"/>
          </w:tcPr>
          <w:p>
            <w:pPr>
              <w:jc w:val="center"/>
              <w:ind w:left="1004"/>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E6E6E6"/>
            </w:tcBorders>
            <w:gridSpan w:val="2"/>
            <w:shd w:val="clear" w:color="auto" w:fill="EEFAEC"/>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6E6E6"/>
            </w:tcBorders>
            <w:shd w:val="clear" w:color="auto" w:fill="EEFAEC"/>
          </w:tcPr>
          <w:p>
            <w:pPr>
              <w:jc w:val="right"/>
              <w:ind w:right="184"/>
              <w:spacing w:after="0"/>
              <w:rPr>
                <w:sz w:val="20"/>
                <w:szCs w:val="20"/>
                <w:color w:val="auto"/>
              </w:rPr>
            </w:pPr>
            <w:r>
              <w:rPr>
                <w:rFonts w:ascii="Arial" w:cs="Arial" w:eastAsia="Arial" w:hAnsi="Arial"/>
                <w:sz w:val="16"/>
                <w:szCs w:val="16"/>
                <w:color w:val="auto"/>
              </w:rPr>
              <w:t>116,397</w:t>
            </w:r>
          </w:p>
        </w:tc>
        <w:tc>
          <w:tcPr>
            <w:tcW w:w="126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8,189,519</w:t>
            </w:r>
          </w:p>
        </w:tc>
      </w:tr>
      <w:tr>
        <w:trPr>
          <w:trHeight w:val="237"/>
        </w:trPr>
        <w:tc>
          <w:tcPr>
            <w:tcW w:w="250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James Kehoe</w:t>
            </w:r>
          </w:p>
        </w:tc>
        <w:tc>
          <w:tcPr>
            <w:tcW w:w="2080" w:type="dxa"/>
            <w:vAlign w:val="bottom"/>
            <w:tcBorders>
              <w:bottom w:val="single" w:sz="8" w:color="E6E6E6"/>
            </w:tcBorders>
          </w:tcPr>
          <w:p>
            <w:pPr>
              <w:jc w:val="center"/>
              <w:ind w:left="1004"/>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E6E6E6"/>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6E6E6"/>
            </w:tcBorders>
          </w:tcPr>
          <w:p>
            <w:pPr>
              <w:jc w:val="right"/>
              <w:ind w:right="164"/>
              <w:spacing w:after="0"/>
              <w:rPr>
                <w:sz w:val="20"/>
                <w:szCs w:val="20"/>
                <w:color w:val="auto"/>
              </w:rPr>
            </w:pPr>
            <w:r>
              <w:rPr>
                <w:rFonts w:ascii="Arial" w:cs="Arial" w:eastAsia="Arial" w:hAnsi="Arial"/>
                <w:sz w:val="16"/>
                <w:szCs w:val="16"/>
                <w:color w:val="auto"/>
              </w:rPr>
              <w:t>100,572</w:t>
            </w:r>
          </w:p>
        </w:tc>
        <w:tc>
          <w:tcPr>
            <w:tcW w:w="126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6,991,746</w:t>
            </w:r>
          </w:p>
        </w:tc>
      </w:tr>
      <w:tr>
        <w:trPr>
          <w:trHeight w:val="237"/>
        </w:trPr>
        <w:tc>
          <w:tcPr>
            <w:tcW w:w="250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Firdaus Bhathena</w:t>
            </w:r>
          </w:p>
        </w:tc>
        <w:tc>
          <w:tcPr>
            <w:tcW w:w="2080" w:type="dxa"/>
            <w:vAlign w:val="bottom"/>
            <w:tcBorders>
              <w:bottom w:val="single" w:sz="8" w:color="E6E6E6"/>
            </w:tcBorders>
            <w:shd w:val="clear" w:color="auto" w:fill="EEFAEC"/>
          </w:tcPr>
          <w:p>
            <w:pPr>
              <w:jc w:val="center"/>
              <w:ind w:left="1004"/>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E6E6E6"/>
            </w:tcBorders>
            <w:gridSpan w:val="2"/>
            <w:shd w:val="clear" w:color="auto" w:fill="EEFAEC"/>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6E6E6"/>
            </w:tcBorders>
            <w:shd w:val="clear" w:color="auto" w:fill="EEFAEC"/>
          </w:tcPr>
          <w:p>
            <w:pPr>
              <w:jc w:val="right"/>
              <w:ind w:right="164"/>
              <w:spacing w:after="0"/>
              <w:rPr>
                <w:sz w:val="20"/>
                <w:szCs w:val="20"/>
                <w:color w:val="auto"/>
              </w:rPr>
            </w:pPr>
            <w:r>
              <w:rPr>
                <w:rFonts w:ascii="Arial" w:cs="Arial" w:eastAsia="Arial" w:hAnsi="Arial"/>
                <w:sz w:val="16"/>
                <w:szCs w:val="16"/>
                <w:color w:val="auto"/>
              </w:rPr>
              <w:t>14,854</w:t>
            </w:r>
          </w:p>
        </w:tc>
        <w:tc>
          <w:tcPr>
            <w:tcW w:w="126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1,091,370</w:t>
            </w:r>
          </w:p>
        </w:tc>
      </w:tr>
      <w:tr>
        <w:trPr>
          <w:trHeight w:val="210"/>
        </w:trPr>
        <w:tc>
          <w:tcPr>
            <w:tcW w:w="250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Robert Toohey</w:t>
            </w:r>
          </w:p>
        </w:tc>
        <w:tc>
          <w:tcPr>
            <w:tcW w:w="2080" w:type="dxa"/>
            <w:vAlign w:val="bottom"/>
            <w:tcBorders>
              <w:bottom w:val="single" w:sz="8" w:color="E6E6E6"/>
            </w:tcBorders>
          </w:tcPr>
          <w:p>
            <w:pPr>
              <w:jc w:val="center"/>
              <w:ind w:left="1004"/>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E6E6E6"/>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6E6E6"/>
            </w:tcBorders>
          </w:tcPr>
          <w:p>
            <w:pPr>
              <w:jc w:val="right"/>
              <w:ind w:right="164"/>
              <w:spacing w:after="0"/>
              <w:rPr>
                <w:sz w:val="20"/>
                <w:szCs w:val="20"/>
                <w:color w:val="auto"/>
              </w:rPr>
            </w:pPr>
            <w:r>
              <w:rPr>
                <w:rFonts w:ascii="Arial" w:cs="Arial" w:eastAsia="Arial" w:hAnsi="Arial"/>
                <w:sz w:val="16"/>
                <w:szCs w:val="16"/>
                <w:color w:val="auto"/>
              </w:rPr>
              <w:t>18,510</w:t>
            </w:r>
          </w:p>
        </w:tc>
        <w:tc>
          <w:tcPr>
            <w:tcW w:w="126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1,197,227</w:t>
            </w:r>
          </w:p>
        </w:tc>
      </w:tr>
      <w:tr>
        <w:trPr>
          <w:trHeight w:val="236"/>
        </w:trPr>
        <w:tc>
          <w:tcPr>
            <w:tcW w:w="2500" w:type="dxa"/>
            <w:vAlign w:val="bottom"/>
            <w:tcBorders>
              <w:bottom w:val="single" w:sz="8" w:color="431C5B"/>
            </w:tcBorders>
            <w:shd w:val="clear" w:color="auto" w:fill="EDFAEC"/>
          </w:tcPr>
          <w:p>
            <w:pPr>
              <w:ind w:left="80"/>
              <w:spacing w:after="0"/>
              <w:rPr>
                <w:sz w:val="20"/>
                <w:szCs w:val="20"/>
                <w:color w:val="auto"/>
              </w:rPr>
            </w:pPr>
            <w:r>
              <w:rPr>
                <w:rFonts w:ascii="Arial" w:cs="Arial" w:eastAsia="Arial" w:hAnsi="Arial"/>
                <w:sz w:val="16"/>
                <w:szCs w:val="16"/>
                <w:b w:val="1"/>
                <w:bCs w:val="1"/>
                <w:color w:val="431C5B"/>
              </w:rPr>
              <w:t>Caroline Tsai</w:t>
            </w:r>
          </w:p>
        </w:tc>
        <w:tc>
          <w:tcPr>
            <w:tcW w:w="2080" w:type="dxa"/>
            <w:vAlign w:val="bottom"/>
            <w:tcBorders>
              <w:bottom w:val="single" w:sz="8" w:color="431C5B"/>
            </w:tcBorders>
            <w:shd w:val="clear" w:color="auto" w:fill="EDFAEC"/>
          </w:tcPr>
          <w:p>
            <w:pPr>
              <w:jc w:val="center"/>
              <w:ind w:left="1004"/>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431C5B"/>
            </w:tcBorders>
            <w:gridSpan w:val="2"/>
            <w:shd w:val="clear" w:color="auto" w:fill="EDFAEC"/>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431C5B"/>
            </w:tcBorders>
            <w:shd w:val="clear" w:color="auto" w:fill="EDFAEC"/>
          </w:tcPr>
          <w:p>
            <w:pPr>
              <w:jc w:val="right"/>
              <w:ind w:right="164"/>
              <w:spacing w:after="0"/>
              <w:rPr>
                <w:sz w:val="20"/>
                <w:szCs w:val="20"/>
                <w:color w:val="auto"/>
              </w:rPr>
            </w:pPr>
            <w:r>
              <w:rPr>
                <w:rFonts w:ascii="Arial" w:cs="Arial" w:eastAsia="Arial" w:hAnsi="Arial"/>
                <w:sz w:val="16"/>
                <w:szCs w:val="16"/>
                <w:color w:val="auto"/>
              </w:rPr>
              <w:t>44,247</w:t>
            </w:r>
          </w:p>
        </w:tc>
        <w:tc>
          <w:tcPr>
            <w:tcW w:w="126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6"/>
                <w:szCs w:val="16"/>
                <w:color w:val="auto"/>
              </w:rPr>
              <w:t>3,102,060</w:t>
            </w:r>
          </w:p>
        </w:tc>
      </w:tr>
    </w:tbl>
    <w:p>
      <w:pPr>
        <w:spacing w:after="0" w:line="240"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2025 Nonqualified Deferred Compensation</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The Deferred Compensation Plan</w:t>
      </w:r>
    </w:p>
    <w:p>
      <w:pPr>
        <w:spacing w:after="0" w:line="87" w:lineRule="exact"/>
        <w:rPr>
          <w:sz w:val="20"/>
          <w:szCs w:val="20"/>
          <w:color w:val="auto"/>
        </w:rPr>
      </w:pPr>
    </w:p>
    <w:p>
      <w:pPr>
        <w:ind w:left="140" w:right="179"/>
        <w:spacing w:after="0" w:line="287" w:lineRule="auto"/>
        <w:rPr>
          <w:sz w:val="20"/>
          <w:szCs w:val="20"/>
          <w:color w:val="auto"/>
        </w:rPr>
      </w:pPr>
      <w:r>
        <w:rPr>
          <w:rFonts w:ascii="Arial" w:cs="Arial" w:eastAsia="Arial" w:hAnsi="Arial"/>
          <w:sz w:val="16"/>
          <w:szCs w:val="16"/>
          <w:color w:val="auto"/>
        </w:rPr>
        <w:t>Our U.S. NEOs are eligible to participate in the Company’s Deferred Compensation Plan, which is a nonqualified elective deferred compensation plan. For 2025, the NEOs could elect to defer up to 65% of their base salary and 75% for bonuses and/or commissions on a pre-tax basis. Participants’ accounts are bookkeeping entries only and participants’ benefits are unsecured. Participants’ accounts are credited or debited daily based on the performance of hypothetical investments selected by the participant and may be changed on any business day.</w:t>
      </w:r>
    </w:p>
    <w:p>
      <w:pPr>
        <w:spacing w:after="0" w:line="88" w:lineRule="exact"/>
        <w:rPr>
          <w:sz w:val="20"/>
          <w:szCs w:val="20"/>
          <w:color w:val="auto"/>
        </w:rPr>
      </w:pPr>
    </w:p>
    <w:p>
      <w:pPr>
        <w:ind w:left="140" w:right="119"/>
        <w:spacing w:after="0" w:line="277" w:lineRule="auto"/>
        <w:rPr>
          <w:sz w:val="20"/>
          <w:szCs w:val="20"/>
          <w:color w:val="auto"/>
        </w:rPr>
      </w:pPr>
      <w:r>
        <w:rPr>
          <w:rFonts w:ascii="Arial" w:cs="Arial" w:eastAsia="Arial" w:hAnsi="Arial"/>
          <w:sz w:val="16"/>
          <w:szCs w:val="16"/>
          <w:color w:val="auto"/>
        </w:rPr>
        <w:t>An individual may elect, in accordance with the terms of the Company’s Deferred Compensation Plan, either a lump-sum withdrawal or installment payments over 5, 10 or 15 years to be paid upon retirement, which generally means separation of employment after reaching age sixty. Similar payment elections are available for pre-retirement survivor benefits. In the event of a termination prior to retirement, distributions are paid over a five-year period. If elected, an individual will receive a lump-sum payment upon a separation from service during the twenty-four month period following a change in control. An individual may also elect to receive a lump sum payment upon a change in control. Account balances at the time of first valuation following termination less than the limit under Section 402(g) of the Internal Revenue Code, which was $23,500 in 2025, will be distributed in a lump sum. Participants can elect to receive in-service distributions if they establish a special account under the plan and specify a future date on which that benefit is to be paid. These payments would equal the value of the account as of the January 31 following the plan year designated by the participant, and would be paid within two and one-half months following the end of that plan year. The participant may also petition us to suspend elected deferrals, and to receive partial or full payout under the plan, in the event of an unforeseeable financial emergency, provided that the participant does not have other resources to meet the hardship.</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Plan participation continues until all benefits under the plan have been paid.</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None of our NEOs currently participate in the Deferred Compensation Plan.</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hanging="429"/>
        <w:spacing w:after="0"/>
        <w:tabs>
          <w:tab w:leader="none" w:pos="620" w:val="left"/>
        </w:tabs>
        <w:numPr>
          <w:ilvl w:val="0"/>
          <w:numId w:val="104"/>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79" w:name="page80"/>
    <w:bookmarkEnd w:id="79"/>
    <w:p>
      <w:pPr>
        <w:ind w:left="716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385" w:lineRule="exact"/>
        <w:rPr>
          <w:sz w:val="20"/>
          <w:szCs w:val="20"/>
          <w:color w:val="auto"/>
        </w:rPr>
      </w:pPr>
    </w:p>
    <w:p>
      <w:pPr>
        <w:ind w:left="140" w:right="1379"/>
        <w:spacing w:after="0" w:line="282" w:lineRule="auto"/>
        <w:rPr>
          <w:sz w:val="20"/>
          <w:szCs w:val="20"/>
          <w:color w:val="auto"/>
        </w:rPr>
      </w:pPr>
      <w:r>
        <w:rPr>
          <w:rFonts w:ascii="Arial" w:cs="Arial" w:eastAsia="Arial" w:hAnsi="Arial"/>
          <w:sz w:val="32"/>
          <w:szCs w:val="32"/>
          <w:b w:val="1"/>
          <w:bCs w:val="1"/>
          <w:color w:val="431C5B"/>
        </w:rPr>
        <w:t>Potential Payments Upon Termination or Change in Control</w:t>
      </w:r>
    </w:p>
    <w:p>
      <w:pPr>
        <w:spacing w:after="0" w:line="2" w:lineRule="exact"/>
        <w:rPr>
          <w:sz w:val="20"/>
          <w:szCs w:val="20"/>
          <w:color w:val="auto"/>
        </w:rPr>
      </w:pPr>
    </w:p>
    <w:p>
      <w:pPr>
        <w:ind w:left="140" w:right="219"/>
        <w:spacing w:after="0" w:line="268" w:lineRule="auto"/>
        <w:rPr>
          <w:sz w:val="20"/>
          <w:szCs w:val="20"/>
          <w:color w:val="auto"/>
        </w:rPr>
      </w:pPr>
      <w:r>
        <w:rPr>
          <w:rFonts w:ascii="Arial" w:cs="Arial" w:eastAsia="Arial" w:hAnsi="Arial"/>
          <w:sz w:val="16"/>
          <w:szCs w:val="16"/>
          <w:color w:val="auto"/>
        </w:rPr>
        <w:t>In this section, we discuss the nature and estimated value of payments and benefits we would provide to our NEOs in the event of termination of employment or a change in control. The amounts described in this section are what would be due under our NEOs’ employment agreements and our compensation and benefit plans and agreements if employment had terminated or a change in control had occurred on December 31, 2025. The types of termination situations include a voluntary termination by the executive, with or without good reason, a termination by us either for cause or not for cause and termination in the event of disability or death. We also describe the estimated payments and benefits that would be provided upon a change in control without a termination of employment. The actual payments and benefits that would be provided would be based on the NEOs’ compensation and benefit levels at the time of the termination of employment or change in control and the value of accelerated vesting of stock-based awards would depend on the value of the underlying stock.</w:t>
      </w:r>
    </w:p>
    <w:p>
      <w:pPr>
        <w:spacing w:after="0" w:line="92" w:lineRule="exact"/>
        <w:rPr>
          <w:sz w:val="20"/>
          <w:szCs w:val="20"/>
          <w:color w:val="auto"/>
        </w:rPr>
      </w:pPr>
    </w:p>
    <w:p>
      <w:pPr>
        <w:ind w:left="140" w:right="139"/>
        <w:spacing w:after="0" w:line="282" w:lineRule="auto"/>
        <w:rPr>
          <w:sz w:val="20"/>
          <w:szCs w:val="20"/>
          <w:color w:val="auto"/>
        </w:rPr>
      </w:pPr>
      <w:r>
        <w:rPr>
          <w:rFonts w:ascii="Arial" w:cs="Arial" w:eastAsia="Arial" w:hAnsi="Arial"/>
          <w:sz w:val="16"/>
          <w:szCs w:val="16"/>
          <w:color w:val="auto"/>
        </w:rPr>
        <w:t>For each type of employment termination, the NEOs would be entitled to benefits that are available generally to our U.S. salaried employees, such as distributions under our 401(k) savings plan, certain disability benefits and accrued vacation. We have not described or provided an estimate of the value of any payments or benefits under plans or arrangements that do not discriminate in scope, terms or operation in favor of a NEO and that are generally available to all salaried employees. These plans are discussed in the Compensation Discussion and Analysis section and the Nonqualified Deferred Compensation section.</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Potential Payments Under Employment Agreements</w:t>
      </w:r>
    </w:p>
    <w:p>
      <w:pPr>
        <w:spacing w:after="0" w:line="87" w:lineRule="exact"/>
        <w:rPr>
          <w:sz w:val="20"/>
          <w:szCs w:val="20"/>
          <w:color w:val="auto"/>
        </w:rPr>
      </w:pPr>
    </w:p>
    <w:p>
      <w:pPr>
        <w:ind w:left="140" w:right="199"/>
        <w:spacing w:after="0" w:line="282" w:lineRule="auto"/>
        <w:rPr>
          <w:sz w:val="20"/>
          <w:szCs w:val="20"/>
          <w:color w:val="auto"/>
        </w:rPr>
      </w:pPr>
      <w:r>
        <w:rPr>
          <w:rFonts w:ascii="Arial" w:cs="Arial" w:eastAsia="Arial" w:hAnsi="Arial"/>
          <w:sz w:val="16"/>
          <w:szCs w:val="16"/>
          <w:color w:val="auto"/>
        </w:rPr>
        <w:t>As discussed previously, we have entered into employment agreements with each of our NEOs, except Firdaus Bhathena who was, and Robert Toohey who is, each a Participant under our Severance Plan. The employment agreements contain provisions for the payment of severance benefits following certain termination events. The following is a summary of the payments and benefits our NEOs would receive in connection with various employment termination scenarios under their agreements in effect on December 31, 2025.</w:t>
      </w:r>
    </w:p>
    <w:p>
      <w:pPr>
        <w:spacing w:after="0" w:line="134" w:lineRule="exact"/>
        <w:rPr>
          <w:sz w:val="20"/>
          <w:szCs w:val="20"/>
          <w:color w:val="auto"/>
        </w:rPr>
      </w:pPr>
    </w:p>
    <w:p>
      <w:pPr>
        <w:ind w:left="140" w:right="219"/>
        <w:spacing w:after="0" w:line="285" w:lineRule="auto"/>
        <w:rPr>
          <w:sz w:val="20"/>
          <w:szCs w:val="20"/>
          <w:color w:val="auto"/>
        </w:rPr>
      </w:pPr>
      <w:r>
        <w:rPr>
          <w:rFonts w:ascii="Arial" w:cs="Arial" w:eastAsia="Arial" w:hAnsi="Arial"/>
          <w:sz w:val="16"/>
          <w:szCs w:val="16"/>
          <w:b w:val="1"/>
          <w:bCs w:val="1"/>
          <w:color w:val="auto"/>
        </w:rPr>
        <w:t>If a NEO’s employment is terminated for any reason, we will pay any earned but unpaid base salary, any expense reimbursement payments owed, and any earned but unpaid annual bonus payments relating to the prior year (with subjective goals being treated as achieved at no less than target in the case of Ms. Ferris), which we refer to as “accrued obligations.” In the case of Ms. Ferris, Mr. Kehoe, and Ms. Tsai, any accrued but unused vacation pay also constitute accrued obligations that we will pay if they are terminated for any reason.</w:t>
      </w:r>
    </w:p>
    <w:p>
      <w:pPr>
        <w:spacing w:after="0" w:line="123" w:lineRule="exact"/>
        <w:rPr>
          <w:sz w:val="20"/>
          <w:szCs w:val="20"/>
          <w:color w:val="auto"/>
        </w:rPr>
      </w:pPr>
    </w:p>
    <w:p>
      <w:pPr>
        <w:ind w:left="140" w:right="439"/>
        <w:spacing w:after="0" w:line="298" w:lineRule="auto"/>
        <w:rPr>
          <w:sz w:val="20"/>
          <w:szCs w:val="20"/>
          <w:color w:val="auto"/>
        </w:rPr>
      </w:pPr>
      <w:r>
        <w:rPr>
          <w:rFonts w:ascii="Arial" w:cs="Arial" w:eastAsia="Arial" w:hAnsi="Arial"/>
          <w:sz w:val="16"/>
          <w:szCs w:val="16"/>
          <w:b w:val="1"/>
          <w:bCs w:val="1"/>
          <w:color w:val="auto"/>
        </w:rPr>
        <w:t>If a NEO’s employment is terminated by us for any reason other than for cause or due to the executive’s death or disability, or if the executive terminates their employment for good reason, then the executive is entitled to receive:</w:t>
      </w:r>
    </w:p>
    <w:p>
      <w:pPr>
        <w:spacing w:after="0" w:line="111" w:lineRule="exact"/>
        <w:rPr>
          <w:sz w:val="20"/>
          <w:szCs w:val="20"/>
          <w:color w:val="auto"/>
        </w:rPr>
      </w:pPr>
    </w:p>
    <w:p>
      <w:pPr>
        <w:ind w:left="320" w:right="159" w:hanging="190"/>
        <w:spacing w:after="0" w:line="275" w:lineRule="auto"/>
        <w:tabs>
          <w:tab w:leader="none" w:pos="3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the case of Mses. Ferris and Tsai and Mr. Kehoe, a prorated annual bonus based on the date of termination and the actual bonus that would have been earned in the year of termination had the executive still been employed; provided that, for Ms. Ferris and Mr. Kehoe, any subjective bonus criteria will be treated as being achieved at no less than target;</w:t>
      </w:r>
    </w:p>
    <w:p>
      <w:pPr>
        <w:spacing w:after="0" w:line="2" w:lineRule="exact"/>
        <w:rPr>
          <w:rFonts w:ascii="Arial" w:cs="Arial" w:eastAsia="Arial" w:hAnsi="Arial"/>
          <w:sz w:val="16"/>
          <w:szCs w:val="16"/>
          <w:color w:val="auto"/>
        </w:rPr>
      </w:pPr>
    </w:p>
    <w:p>
      <w:pPr>
        <w:ind w:left="320" w:hanging="190"/>
        <w:spacing w:after="0"/>
        <w:tabs>
          <w:tab w:leader="none" w:pos="3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the case of Mses. Ferris and Tsai and Mr. Kehoe, a lump sum payment equal to 200% of the sum of the executive’s</w:t>
      </w:r>
    </w:p>
    <w:p>
      <w:pPr>
        <w:spacing w:after="0" w:line="21"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(1) annual base salary and (2) target annual bonus opportunity in the year in which the termination of employment</w:t>
      </w:r>
    </w:p>
    <w:p>
      <w:pPr>
        <w:spacing w:after="0" w:line="15" w:lineRule="exact"/>
        <w:rPr>
          <w:sz w:val="20"/>
          <w:szCs w:val="20"/>
          <w:color w:val="auto"/>
        </w:rPr>
      </w:pPr>
    </w:p>
    <w:p>
      <w:pPr>
        <w:ind w:left="320" w:right="299"/>
        <w:spacing w:after="0" w:line="270" w:lineRule="auto"/>
        <w:rPr>
          <w:sz w:val="20"/>
          <w:szCs w:val="20"/>
          <w:color w:val="auto"/>
        </w:rPr>
      </w:pPr>
      <w:r>
        <w:rPr>
          <w:rFonts w:ascii="Arial" w:cs="Arial" w:eastAsia="Arial" w:hAnsi="Arial"/>
          <w:sz w:val="16"/>
          <w:szCs w:val="16"/>
          <w:color w:val="auto"/>
        </w:rPr>
        <w:t>occurs; provided that, with respect to Ms. Ferris, if such termination or resignation occurs in connection with a change of control, such lump sum payment shall equal 300% of such sum;</w:t>
      </w:r>
    </w:p>
    <w:p>
      <w:pPr>
        <w:spacing w:after="0" w:line="19" w:lineRule="exact"/>
        <w:rPr>
          <w:sz w:val="20"/>
          <w:szCs w:val="20"/>
          <w:color w:val="auto"/>
        </w:rPr>
      </w:pPr>
    </w:p>
    <w:p>
      <w:pPr>
        <w:ind w:left="320" w:right="359" w:hanging="190"/>
        <w:spacing w:after="0" w:line="281" w:lineRule="auto"/>
        <w:tabs>
          <w:tab w:leader="none" w:pos="3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the case of Messrs. Bhathena and Toohey, a lump sum severance payment equal to one times (1x) the sum of his base salary and target annual incentive compensation for the fiscal year in which the termination occurs;</w:t>
      </w:r>
    </w:p>
    <w:p>
      <w:pPr>
        <w:spacing w:after="0" w:line="1" w:lineRule="exact"/>
        <w:rPr>
          <w:rFonts w:ascii="Arial" w:cs="Arial" w:eastAsia="Arial" w:hAnsi="Arial"/>
          <w:sz w:val="16"/>
          <w:szCs w:val="16"/>
          <w:color w:val="auto"/>
        </w:rPr>
      </w:pPr>
    </w:p>
    <w:p>
      <w:pPr>
        <w:ind w:left="320" w:right="159" w:hanging="190"/>
        <w:spacing w:after="0" w:line="260" w:lineRule="auto"/>
        <w:tabs>
          <w:tab w:leader="none" w:pos="3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the case of Ms. Ferris, (1) with respect to grants made before the end of 2025, vesting and/or payment of all equity awards on the dates specified in the applicable grant agreements and, with respect to any performance-vested awards, subject to the satisfaction of the applicable performance criteria and (2) with respect to grants made after 2025, vesting and/or payment of (i) all time-based equity awards on the dates specified in the applicable grant agreements and</w:t>
      </w:r>
    </w:p>
    <w:p>
      <w:pPr>
        <w:spacing w:after="0" w:line="1" w:lineRule="exact"/>
        <w:rPr>
          <w:rFonts w:ascii="Arial" w:cs="Arial" w:eastAsia="Arial" w:hAnsi="Arial"/>
          <w:sz w:val="16"/>
          <w:szCs w:val="16"/>
          <w:color w:val="auto"/>
        </w:rPr>
      </w:pPr>
    </w:p>
    <w:p>
      <w:pPr>
        <w:ind w:left="320" w:right="359"/>
        <w:spacing w:after="0" w:line="257" w:lineRule="auto"/>
        <w:rPr>
          <w:rFonts w:ascii="Arial" w:cs="Arial" w:eastAsia="Arial" w:hAnsi="Arial"/>
          <w:sz w:val="16"/>
          <w:szCs w:val="16"/>
          <w:color w:val="auto"/>
        </w:rPr>
      </w:pPr>
      <w:r>
        <w:rPr>
          <w:rFonts w:ascii="Arial" w:cs="Arial" w:eastAsia="Arial" w:hAnsi="Arial"/>
          <w:sz w:val="16"/>
          <w:szCs w:val="16"/>
          <w:color w:val="auto"/>
        </w:rPr>
        <w:t>(ii) vesting of all performance-based equity awards solely to the extent provided in the applicable award agreements governing such awards, which will be no less favorable than those provided to the executives of the Company generally; provided that, in the event of a termination or resignation in connection with a change of control, all equity awards granted shall become immediately and fully vested as of the later of the date of termination or the date of the change of control (and in the case of performance-based awards for which the performance period has not yet completed, vesting will be at no less than 100% of target);</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77</w:t>
      </w:r>
    </w:p>
    <w:p>
      <w:pPr>
        <w:sectPr>
          <w:pgSz w:w="11900" w:h="16838" w:orient="portrait"/>
          <w:cols w:equalWidth="0" w:num="1">
            <w:col w:w="9019"/>
          </w:cols>
          <w:pgMar w:left="1440" w:top="657" w:right="1440" w:bottom="1440" w:gutter="0" w:footer="0" w:header="0"/>
          <w:type w:val="continuous"/>
        </w:sectPr>
      </w:pPr>
    </w:p>
    <w:bookmarkStart w:id="80" w:name="page81"/>
    <w:bookmarkEnd w:id="80"/>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200" w:lineRule="exact"/>
        <w:rPr>
          <w:sz w:val="20"/>
          <w:szCs w:val="20"/>
          <w:color w:val="auto"/>
        </w:rPr>
      </w:pPr>
    </w:p>
    <w:p>
      <w:pPr>
        <w:spacing w:after="0" w:line="215" w:lineRule="exact"/>
        <w:rPr>
          <w:sz w:val="20"/>
          <w:szCs w:val="20"/>
          <w:color w:val="auto"/>
        </w:rPr>
      </w:pPr>
    </w:p>
    <w:p>
      <w:pPr>
        <w:ind w:left="320" w:right="239" w:hanging="190"/>
        <w:spacing w:after="0" w:line="289" w:lineRule="auto"/>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the case of Mr. Kehoe and Ms. Tsai, vesting and/or payment of all equity awards in accordance with the terms of and on the dates specified in the applicable grant agreements (including the achievement of any stated performance metrics for a given performance period), subject to and contingent upon the executive’s continued compliance with the non-competition and non-solicitation covenants in the respective grant agreements and the employment agreement;</w:t>
      </w:r>
    </w:p>
    <w:p>
      <w:pPr>
        <w:spacing w:after="0" w:line="4" w:lineRule="exact"/>
        <w:rPr>
          <w:rFonts w:ascii="Arial" w:cs="Arial" w:eastAsia="Arial" w:hAnsi="Arial"/>
          <w:sz w:val="16"/>
          <w:szCs w:val="16"/>
          <w:color w:val="auto"/>
        </w:rPr>
      </w:pPr>
    </w:p>
    <w:p>
      <w:pPr>
        <w:ind w:left="320" w:right="179" w:hanging="190"/>
        <w:spacing w:after="0" w:line="289" w:lineRule="auto"/>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the case of Messrs. Bhathena and Toohey, a pro-rated annual incentive compensation plan payout for the fiscal year in which the termination occurs, based on actual performance for the entire fiscal year (but not subject to any discretion related to individual performance goals), prorated for the number of full months worked; and, to the extent unpaid, any annual incentive compensation payable for the fiscal year preceding the date of the termination;</w:t>
      </w:r>
    </w:p>
    <w:p>
      <w:pPr>
        <w:spacing w:after="0" w:line="18" w:lineRule="exact"/>
        <w:rPr>
          <w:rFonts w:ascii="Arial" w:cs="Arial" w:eastAsia="Arial" w:hAnsi="Arial"/>
          <w:sz w:val="16"/>
          <w:szCs w:val="16"/>
          <w:color w:val="auto"/>
        </w:rPr>
      </w:pPr>
    </w:p>
    <w:p>
      <w:pPr>
        <w:ind w:left="320" w:right="159" w:hanging="190"/>
        <w:spacing w:after="0" w:line="282" w:lineRule="auto"/>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the case of Mses. Ferris and Tsai and Mr. Kehoe, COBRA or equivalent coverage (so long as the executive pays the premiums) for a period of eighteen months or, if earlier, until the executive becomes eligible for comparable benefits from another employer, plus a lump sum cash payment equal to the sum of twenty-four months of COBRA premium payments in the case of Ms. Ferris and eighteen months of COBRA premium payments in the case of Mr. Kehoe and Ms. Tsai; in the case of Messrs. Bhathena and Toohey, a lump sum cash payment equal to twelve months of medical and dental COBRA premiums; and</w:t>
      </w:r>
    </w:p>
    <w:p>
      <w:pPr>
        <w:spacing w:after="0" w:line="12" w:lineRule="exact"/>
        <w:rPr>
          <w:rFonts w:ascii="Arial" w:cs="Arial" w:eastAsia="Arial" w:hAnsi="Arial"/>
          <w:sz w:val="16"/>
          <w:szCs w:val="16"/>
          <w:color w:val="auto"/>
        </w:rPr>
      </w:pPr>
    </w:p>
    <w:p>
      <w:pPr>
        <w:ind w:left="320" w:hanging="190"/>
        <w:spacing w:after="0"/>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Ms. Ferris or Mr. Kehoe receives a notice from us of our intention not to extend her or his employment term,</w:t>
      </w:r>
    </w:p>
    <w:p>
      <w:pPr>
        <w:spacing w:after="0" w:line="32" w:lineRule="exact"/>
        <w:rPr>
          <w:rFonts w:ascii="Arial" w:cs="Arial" w:eastAsia="Arial" w:hAnsi="Arial"/>
          <w:sz w:val="16"/>
          <w:szCs w:val="16"/>
          <w:color w:val="auto"/>
        </w:rPr>
      </w:pPr>
    </w:p>
    <w:p>
      <w:pPr>
        <w:jc w:val="both"/>
        <w:ind w:left="320" w:right="479"/>
        <w:spacing w:after="0" w:line="292" w:lineRule="auto"/>
        <w:rPr>
          <w:rFonts w:ascii="Arial" w:cs="Arial" w:eastAsia="Arial" w:hAnsi="Arial"/>
          <w:sz w:val="16"/>
          <w:szCs w:val="16"/>
          <w:color w:val="auto"/>
        </w:rPr>
      </w:pPr>
      <w:r>
        <w:rPr>
          <w:rFonts w:ascii="Arial" w:cs="Arial" w:eastAsia="Arial" w:hAnsi="Arial"/>
          <w:sz w:val="16"/>
          <w:szCs w:val="16"/>
          <w:color w:val="auto"/>
        </w:rPr>
        <w:t>Ms. Ferris or Mr. Kehoe, as applicable, may elect to terminate her or his employment at any time following the four-month anniversary of such notice and upon such termination, shall receive the same benefits described above as if such termination were a termination by us without cause.</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If employment terminates due to death or disability, in the case of all NEOs (other than Messrs. Bhathena and</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Toohey due to their participation in the Severance Plan) the following would be provided, except as noted below:</w:t>
      </w:r>
    </w:p>
    <w:p>
      <w:pPr>
        <w:spacing w:after="0" w:line="178" w:lineRule="exact"/>
        <w:rPr>
          <w:sz w:val="20"/>
          <w:szCs w:val="20"/>
          <w:color w:val="auto"/>
        </w:rPr>
      </w:pPr>
    </w:p>
    <w:p>
      <w:pPr>
        <w:ind w:left="320" w:hanging="190"/>
        <w:spacing w:after="0"/>
        <w:tabs>
          <w:tab w:leader="none" w:pos="3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accrued obligations;</w:t>
      </w:r>
    </w:p>
    <w:p>
      <w:pPr>
        <w:spacing w:after="0" w:line="86" w:lineRule="exact"/>
        <w:rPr>
          <w:rFonts w:ascii="Arial" w:cs="Arial" w:eastAsia="Arial" w:hAnsi="Arial"/>
          <w:sz w:val="16"/>
          <w:szCs w:val="16"/>
          <w:color w:val="auto"/>
        </w:rPr>
      </w:pPr>
    </w:p>
    <w:p>
      <w:pPr>
        <w:ind w:left="320" w:right="359" w:hanging="190"/>
        <w:spacing w:after="0" w:line="304" w:lineRule="auto"/>
        <w:tabs>
          <w:tab w:leader="none" w:pos="3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prorated annual bonus based on the target annual bonus opportunity in the year in which the termination occurs or the prior year if no target annual bonus opportunity has yet been determined;</w:t>
      </w:r>
    </w:p>
    <w:p>
      <w:pPr>
        <w:spacing w:after="0" w:line="6" w:lineRule="exact"/>
        <w:rPr>
          <w:rFonts w:ascii="Arial" w:cs="Arial" w:eastAsia="Arial" w:hAnsi="Arial"/>
          <w:sz w:val="16"/>
          <w:szCs w:val="16"/>
          <w:color w:val="auto"/>
        </w:rPr>
      </w:pPr>
    </w:p>
    <w:p>
      <w:pPr>
        <w:ind w:left="320" w:hanging="190"/>
        <w:spacing w:after="0"/>
        <w:tabs>
          <w:tab w:leader="none" w:pos="3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unpaid portion of the executive’s annual base salary for the remainder of the employment term; and</w:t>
      </w:r>
    </w:p>
    <w:p>
      <w:pPr>
        <w:spacing w:after="0" w:line="72" w:lineRule="exact"/>
        <w:rPr>
          <w:rFonts w:ascii="Arial" w:cs="Arial" w:eastAsia="Arial" w:hAnsi="Arial"/>
          <w:sz w:val="16"/>
          <w:szCs w:val="16"/>
          <w:color w:val="auto"/>
        </w:rPr>
      </w:pPr>
    </w:p>
    <w:p>
      <w:pPr>
        <w:ind w:left="320" w:right="219" w:hanging="190"/>
        <w:spacing w:after="0" w:line="287" w:lineRule="auto"/>
        <w:tabs>
          <w:tab w:leader="none" w:pos="3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the case of Mses. Ferris and Tsai and Mr. Kehoe, vesting and/or payment of all equity awards on the dates specified in the applicable grant agreements and, with respect to any performance-vested awards, subject to the satisfaction of the applicable performance criteria and in the case of Mr. Kehoe and Ms. Tsai, subject to and contingent upon the executive’s continued compliance with the non-competition and non-solicitation covenants in the respective grant agreements and the employment agreement.</w:t>
      </w:r>
    </w:p>
    <w:p>
      <w:pPr>
        <w:spacing w:after="0" w:line="115" w:lineRule="exact"/>
        <w:rPr>
          <w:sz w:val="20"/>
          <w:szCs w:val="20"/>
          <w:color w:val="auto"/>
        </w:rPr>
      </w:pPr>
    </w:p>
    <w:p>
      <w:pPr>
        <w:ind w:left="140" w:right="339"/>
        <w:spacing w:after="0" w:line="306" w:lineRule="auto"/>
        <w:rPr>
          <w:sz w:val="20"/>
          <w:szCs w:val="20"/>
          <w:color w:val="auto"/>
        </w:rPr>
      </w:pPr>
      <w:r>
        <w:rPr>
          <w:rFonts w:ascii="Arial" w:cs="Arial" w:eastAsia="Arial" w:hAnsi="Arial"/>
          <w:sz w:val="16"/>
          <w:szCs w:val="16"/>
          <w:b w:val="1"/>
          <w:bCs w:val="1"/>
          <w:color w:val="auto"/>
        </w:rPr>
        <w:t>Under the Severance Plan, if the employment of Messrs. Bhathena or Toohey is terminated by the Company for reasons directly related to work performance outside the Change in Control Protection Period, the following would be provided:</w:t>
      </w:r>
    </w:p>
    <w:p>
      <w:pPr>
        <w:spacing w:after="0" w:line="93" w:lineRule="exact"/>
        <w:rPr>
          <w:sz w:val="20"/>
          <w:szCs w:val="20"/>
          <w:color w:val="auto"/>
        </w:rPr>
      </w:pPr>
    </w:p>
    <w:p>
      <w:pPr>
        <w:ind w:left="320" w:hanging="190"/>
        <w:spacing w:after="0"/>
        <w:tabs>
          <w:tab w:leader="none" w:pos="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accrued obligations;</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severance payment equal to one-half times (.5x) their base salary; and</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lump sum cash payment equal to six months of medical and dental COBRA premiums.</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Under each of the employment agreements (other than Messrs. Bhathena and Toohey’s participation in the</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Severance Plan), “cause” generally means the executive’s:</w:t>
      </w:r>
    </w:p>
    <w:p>
      <w:pPr>
        <w:spacing w:after="0" w:line="174" w:lineRule="exact"/>
        <w:rPr>
          <w:sz w:val="20"/>
          <w:szCs w:val="20"/>
          <w:color w:val="auto"/>
        </w:rPr>
      </w:pPr>
    </w:p>
    <w:p>
      <w:pPr>
        <w:ind w:left="320" w:right="999" w:hanging="190"/>
        <w:spacing w:after="0" w:line="308" w:lineRule="auto"/>
        <w:tabs>
          <w:tab w:leader="none" w:pos="3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Persistent (and in the case of Ms. Ferris and Mr. Kehoe, knowing) failure to perform duties consistent with a commercially reasonable standard of care;</w:t>
      </w:r>
    </w:p>
    <w:p>
      <w:pPr>
        <w:ind w:left="320" w:hanging="190"/>
        <w:spacing w:after="0"/>
        <w:tabs>
          <w:tab w:leader="none" w:pos="3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Willful neglect of duties;</w:t>
      </w:r>
    </w:p>
    <w:p>
      <w:pPr>
        <w:spacing w:after="0" w:line="86" w:lineRule="exact"/>
        <w:rPr>
          <w:rFonts w:ascii="Arial" w:cs="Arial" w:eastAsia="Arial" w:hAnsi="Arial"/>
          <w:sz w:val="16"/>
          <w:szCs w:val="16"/>
          <w:color w:val="auto"/>
        </w:rPr>
      </w:pPr>
    </w:p>
    <w:p>
      <w:pPr>
        <w:ind w:left="320" w:right="659" w:hanging="190"/>
        <w:spacing w:after="0" w:line="308" w:lineRule="auto"/>
        <w:tabs>
          <w:tab w:leader="none" w:pos="3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Conviction of, or pleading nolo contendere to, criminal (or, for certain executives, other illegal) activities involving dishonesty or moral turpitude;</w:t>
      </w:r>
    </w:p>
    <w:p>
      <w:pPr>
        <w:ind w:left="320" w:right="499" w:hanging="190"/>
        <w:spacing w:after="0" w:line="308" w:lineRule="auto"/>
        <w:tabs>
          <w:tab w:leader="none" w:pos="3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Material breach of the employment agreement, or material breach of our business policies, accounting practices or standards of ethics;</w:t>
      </w:r>
    </w:p>
    <w:p>
      <w:pPr>
        <w:ind w:left="320" w:right="259" w:hanging="190"/>
        <w:spacing w:after="0" w:line="316" w:lineRule="auto"/>
        <w:tabs>
          <w:tab w:leader="none" w:pos="3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Impeding or failing to materially cooperate (in the case of Ms. Ferris and Mr. Kehoe, intentionally) with an investigation authorized by our Board; or</w:t>
      </w:r>
    </w:p>
    <w:p>
      <w:pPr>
        <w:spacing w:after="0" w:line="1" w:lineRule="exact"/>
        <w:rPr>
          <w:rFonts w:ascii="Arial" w:cs="Arial" w:eastAsia="Arial" w:hAnsi="Arial"/>
          <w:sz w:val="16"/>
          <w:szCs w:val="16"/>
          <w:color w:val="auto"/>
        </w:rPr>
      </w:pPr>
    </w:p>
    <w:p>
      <w:pPr>
        <w:ind w:left="320" w:right="279" w:hanging="190"/>
        <w:spacing w:after="0" w:line="292" w:lineRule="auto"/>
        <w:tabs>
          <w:tab w:leader="none" w:pos="3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the case of Mses. Ferris and Tsai and Mr. Kehoe, in all scenarios above other than conviction of a criminal or illegal activity, in order to qualify as a termination for cause, we must provide notice of the termination within 90 days of the initial existence of the “cause” event, and the executive has 30 days to cure the event.</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620" w:hanging="429"/>
        <w:spacing w:after="0"/>
        <w:tabs>
          <w:tab w:leader="none" w:pos="620" w:val="left"/>
        </w:tabs>
        <w:numPr>
          <w:ilvl w:val="0"/>
          <w:numId w:val="111"/>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81" w:name="page82"/>
    <w:bookmarkEnd w:id="81"/>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Under the Severance Plan, “cause” is defined as:</w:t>
      </w:r>
    </w:p>
    <w:p>
      <w:pPr>
        <w:spacing w:after="0" w:line="194" w:lineRule="exact"/>
        <w:rPr>
          <w:sz w:val="20"/>
          <w:szCs w:val="20"/>
          <w:color w:val="auto"/>
        </w:rPr>
      </w:pPr>
    </w:p>
    <w:p>
      <w:pPr>
        <w:ind w:left="320" w:right="219" w:hanging="190"/>
        <w:spacing w:after="0" w:line="272" w:lineRule="auto"/>
        <w:tabs>
          <w:tab w:leader="none" w:pos="3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Gross negligence or willful misconduct in the performance of, or such Participant’s abuse of alcohol or drugs rendering such Participant unable to perform, the material duties and services required for the Participant’s position with</w:t>
      </w:r>
    </w:p>
    <w:p>
      <w:pPr>
        <w:spacing w:after="0" w:line="1"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the Company;</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Participant’s conviction or plea of nolo contendere for any crime involving moral turpitude or a felony;</w:t>
      </w:r>
    </w:p>
    <w:p>
      <w:pPr>
        <w:spacing w:after="0" w:line="86" w:lineRule="exact"/>
        <w:rPr>
          <w:rFonts w:ascii="Arial" w:cs="Arial" w:eastAsia="Arial" w:hAnsi="Arial"/>
          <w:sz w:val="16"/>
          <w:szCs w:val="16"/>
          <w:color w:val="auto"/>
        </w:rPr>
      </w:pPr>
    </w:p>
    <w:p>
      <w:pPr>
        <w:ind w:left="320" w:right="219" w:hanging="190"/>
        <w:spacing w:after="0" w:line="308" w:lineRule="auto"/>
        <w:tabs>
          <w:tab w:leader="none" w:pos="3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Participant’s commission of an act of deceit or fraud intended to result in personal and unauthorized enrichment of the Participant at the expense of the Company or any of its Affiliates;</w:t>
      </w:r>
    </w:p>
    <w:p>
      <w:pPr>
        <w:ind w:left="320" w:right="319" w:hanging="190"/>
        <w:spacing w:after="0" w:line="308" w:lineRule="auto"/>
        <w:tabs>
          <w:tab w:leader="none" w:pos="3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Participant’s material violation of the written policies of the Company (including the Company’s Code of Conduct, as in effect from time to time);</w:t>
      </w:r>
    </w:p>
    <w:p>
      <w:pPr>
        <w:ind w:left="320" w:right="159" w:hanging="190"/>
        <w:spacing w:after="0" w:line="316" w:lineRule="auto"/>
        <w:tabs>
          <w:tab w:leader="none" w:pos="3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Participant’s material breach of a material obligation of the Participant to the Company pursuant to the Participant’s duties and obligations under the Company’s Bylaws; or</w:t>
      </w:r>
    </w:p>
    <w:p>
      <w:pPr>
        <w:spacing w:after="0" w:line="1" w:lineRule="exact"/>
        <w:rPr>
          <w:rFonts w:ascii="Arial" w:cs="Arial" w:eastAsia="Arial" w:hAnsi="Arial"/>
          <w:sz w:val="16"/>
          <w:szCs w:val="16"/>
          <w:color w:val="auto"/>
        </w:rPr>
      </w:pPr>
    </w:p>
    <w:p>
      <w:pPr>
        <w:ind w:left="320" w:right="359" w:hanging="190"/>
        <w:spacing w:after="0" w:line="304" w:lineRule="auto"/>
        <w:tabs>
          <w:tab w:leader="none" w:pos="3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Participant’s material breach of a material obligation of the Participant to the Company pursuant to any award or agreement between the Participant and the Company.</w:t>
      </w:r>
    </w:p>
    <w:p>
      <w:pPr>
        <w:spacing w:after="0" w:line="114" w:lineRule="exact"/>
        <w:rPr>
          <w:sz w:val="20"/>
          <w:szCs w:val="20"/>
          <w:color w:val="auto"/>
        </w:rPr>
      </w:pPr>
    </w:p>
    <w:p>
      <w:pPr>
        <w:ind w:left="140" w:right="419"/>
        <w:spacing w:after="0" w:line="314" w:lineRule="auto"/>
        <w:rPr>
          <w:sz w:val="20"/>
          <w:szCs w:val="20"/>
          <w:color w:val="auto"/>
        </w:rPr>
      </w:pPr>
      <w:r>
        <w:rPr>
          <w:rFonts w:ascii="Arial" w:cs="Arial" w:eastAsia="Arial" w:hAnsi="Arial"/>
          <w:sz w:val="16"/>
          <w:szCs w:val="16"/>
          <w:b w:val="1"/>
          <w:bCs w:val="1"/>
          <w:color w:val="auto"/>
        </w:rPr>
        <w:t>The employment agreements (other than Messrs. Bhathena and Toohey’s participation in the Severance Plan), generally define “good reason” as:</w:t>
      </w:r>
    </w:p>
    <w:p>
      <w:pPr>
        <w:spacing w:after="0" w:line="99" w:lineRule="exact"/>
        <w:rPr>
          <w:sz w:val="20"/>
          <w:szCs w:val="20"/>
          <w:color w:val="auto"/>
        </w:rPr>
      </w:pPr>
    </w:p>
    <w:p>
      <w:pPr>
        <w:ind w:left="320" w:hanging="190"/>
        <w:spacing w:after="0"/>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material diminution in the executive’s annual base salary or annual bonus opportunity;</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Our material breach of any of our obligations under the employment agreement;</w:t>
      </w:r>
    </w:p>
    <w:p>
      <w:pPr>
        <w:spacing w:after="0" w:line="72" w:lineRule="exact"/>
        <w:rPr>
          <w:rFonts w:ascii="Arial" w:cs="Arial" w:eastAsia="Arial" w:hAnsi="Arial"/>
          <w:sz w:val="16"/>
          <w:szCs w:val="16"/>
          <w:color w:val="auto"/>
        </w:rPr>
      </w:pPr>
    </w:p>
    <w:p>
      <w:pPr>
        <w:ind w:left="320" w:right="179" w:hanging="190"/>
        <w:spacing w:after="0" w:line="292" w:lineRule="auto"/>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case of Ms. Ferris, a material reduction in the executive’s duties, responsibilities, authority or reporting lines (including (x) any requirement by us that the executive report to anyone other than the Board, (y) the executive ceasing to be Chief Executive Officer of a public company or (z) if we do not renominate the executive to the Board);</w:t>
      </w:r>
    </w:p>
    <w:p>
      <w:pPr>
        <w:spacing w:after="0" w:line="16" w:lineRule="exact"/>
        <w:rPr>
          <w:rFonts w:ascii="Arial" w:cs="Arial" w:eastAsia="Arial" w:hAnsi="Arial"/>
          <w:sz w:val="16"/>
          <w:szCs w:val="16"/>
          <w:color w:val="auto"/>
        </w:rPr>
      </w:pPr>
    </w:p>
    <w:p>
      <w:pPr>
        <w:ind w:left="320" w:right="539" w:hanging="190"/>
        <w:spacing w:after="0" w:line="308" w:lineRule="auto"/>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case of Mr. Kehoe, a material reduction in the executive’s duties, responsibilities, authority or reporting lines (including the executive ceasing to be Chief Financial Officer of a public company);</w:t>
      </w:r>
    </w:p>
    <w:p>
      <w:pPr>
        <w:ind w:left="320" w:right="439" w:hanging="190"/>
        <w:spacing w:after="0" w:line="308" w:lineRule="auto"/>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case of Ms. Ferris and Mr. Kehoe, a relocation of the executive’s principal place of employment outside of the Jacksonville, Florida metropolitan area; or</w:t>
      </w:r>
    </w:p>
    <w:p>
      <w:pPr>
        <w:ind w:left="320" w:right="659" w:hanging="190"/>
        <w:spacing w:after="0" w:line="301" w:lineRule="auto"/>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case of Mses. Ferris and Tsai and Mr. Kehoe, our giving notice of our intent not to renew their respective employment agreement within two years following a change in control (as defined in the 2022 Omnibus Plan) for Ms. Ferris and one year of a change in control for Ms. Tsai and Mr. Kehoe.</w:t>
      </w:r>
    </w:p>
    <w:p>
      <w:pPr>
        <w:spacing w:after="0" w:line="104" w:lineRule="exact"/>
        <w:rPr>
          <w:sz w:val="20"/>
          <w:szCs w:val="20"/>
          <w:color w:val="auto"/>
        </w:rPr>
      </w:pPr>
    </w:p>
    <w:p>
      <w:pPr>
        <w:ind w:left="140" w:right="219"/>
        <w:spacing w:after="0" w:line="321" w:lineRule="auto"/>
        <w:rPr>
          <w:sz w:val="20"/>
          <w:szCs w:val="20"/>
          <w:color w:val="auto"/>
        </w:rPr>
      </w:pPr>
      <w:r>
        <w:rPr>
          <w:rFonts w:ascii="Arial" w:cs="Arial" w:eastAsia="Arial" w:hAnsi="Arial"/>
          <w:sz w:val="16"/>
          <w:szCs w:val="16"/>
          <w:color w:val="auto"/>
        </w:rPr>
        <w:t>To qualify as a “good reason” termination, the executive must provide notice of the termination within 90 days of the initial existence of the “good reason” event. We have 30 days to cure the event.</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Under the Severance Plan, “good reason” is defined as:</w:t>
      </w:r>
    </w:p>
    <w:p>
      <w:pPr>
        <w:spacing w:after="0" w:line="194" w:lineRule="exact"/>
        <w:rPr>
          <w:sz w:val="20"/>
          <w:szCs w:val="20"/>
          <w:color w:val="auto"/>
        </w:rPr>
      </w:pPr>
    </w:p>
    <w:p>
      <w:pPr>
        <w:ind w:left="320" w:hanging="190"/>
        <w:spacing w:after="0"/>
        <w:tabs>
          <w:tab w:leader="none" w:pos="3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material diminution in the Participant’s annual base salary or bonus opportunity; or</w:t>
      </w:r>
    </w:p>
    <w:p>
      <w:pPr>
        <w:spacing w:after="0" w:line="86" w:lineRule="exact"/>
        <w:rPr>
          <w:rFonts w:ascii="Arial" w:cs="Arial" w:eastAsia="Arial" w:hAnsi="Arial"/>
          <w:sz w:val="16"/>
          <w:szCs w:val="16"/>
          <w:color w:val="auto"/>
        </w:rPr>
      </w:pPr>
    </w:p>
    <w:p>
      <w:pPr>
        <w:ind w:left="320" w:right="439" w:hanging="190"/>
        <w:spacing w:after="0" w:line="304" w:lineRule="auto"/>
        <w:tabs>
          <w:tab w:leader="none" w:pos="3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requirement that the Participant take any action or omit to take any action, which if taken or omitted to be taken would require the Participant to resign in order to comply with applicable law.</w:t>
      </w:r>
    </w:p>
    <w:p>
      <w:pPr>
        <w:spacing w:after="0" w:line="114" w:lineRule="exact"/>
        <w:rPr>
          <w:sz w:val="20"/>
          <w:szCs w:val="20"/>
          <w:color w:val="auto"/>
        </w:rPr>
      </w:pPr>
    </w:p>
    <w:p>
      <w:pPr>
        <w:ind w:left="140" w:right="279"/>
        <w:spacing w:after="0" w:line="304" w:lineRule="auto"/>
        <w:rPr>
          <w:sz w:val="20"/>
          <w:szCs w:val="20"/>
          <w:color w:val="auto"/>
        </w:rPr>
      </w:pPr>
      <w:r>
        <w:rPr>
          <w:rFonts w:ascii="Arial" w:cs="Arial" w:eastAsia="Arial" w:hAnsi="Arial"/>
          <w:sz w:val="16"/>
          <w:szCs w:val="16"/>
          <w:color w:val="auto"/>
        </w:rPr>
        <w:t>To qualify as “good reason” termination, the Participant must provide notice of the termination within 60 days of the initial existence of the “good reason”. We have 30 days to cure the event.</w:t>
      </w:r>
    </w:p>
    <w:p>
      <w:pPr>
        <w:spacing w:after="0" w:line="114" w:lineRule="exact"/>
        <w:rPr>
          <w:sz w:val="20"/>
          <w:szCs w:val="20"/>
          <w:color w:val="auto"/>
        </w:rPr>
      </w:pPr>
    </w:p>
    <w:p>
      <w:pPr>
        <w:jc w:val="both"/>
        <w:ind w:left="140" w:right="199"/>
        <w:spacing w:after="0" w:line="276" w:lineRule="auto"/>
        <w:rPr>
          <w:sz w:val="20"/>
          <w:szCs w:val="20"/>
          <w:color w:val="auto"/>
        </w:rPr>
      </w:pPr>
      <w:r>
        <w:rPr>
          <w:rFonts w:ascii="Arial" w:cs="Arial" w:eastAsia="Arial" w:hAnsi="Arial"/>
          <w:sz w:val="16"/>
          <w:szCs w:val="16"/>
          <w:color w:val="auto"/>
        </w:rPr>
        <w:t>Each executive’s employment agreement and the Severance Plan provides that, if payments or benefits to be provided to the executive in connection with their termination of employment would be subject to the excise tax under Section 4999 of the Internal Revenue Code, the executive may elect to reduce any payments or benefits to an amount equal to one dollar less than the amount that would be considered a parachute payment under Section 280G of the Internal Revenue Code.</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agreements do not provide for any excise tax gross-up payments.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79</w:t>
      </w:r>
    </w:p>
    <w:p>
      <w:pPr>
        <w:sectPr>
          <w:pgSz w:w="11900" w:h="16838" w:orient="portrait"/>
          <w:cols w:equalWidth="0" w:num="1">
            <w:col w:w="9019"/>
          </w:cols>
          <w:pgMar w:left="1440" w:top="657" w:right="1440" w:bottom="1440" w:gutter="0" w:footer="0" w:header="0"/>
          <w:type w:val="continuous"/>
        </w:sectPr>
      </w:pPr>
    </w:p>
    <w:bookmarkStart w:id="82" w:name="page83"/>
    <w:bookmarkEnd w:id="82"/>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200" w:lineRule="exact"/>
        <w:rPr>
          <w:sz w:val="20"/>
          <w:szCs w:val="20"/>
          <w:color w:val="auto"/>
        </w:rPr>
      </w:pPr>
    </w:p>
    <w:p>
      <w:pPr>
        <w:spacing w:after="0" w:line="215" w:lineRule="exact"/>
        <w:rPr>
          <w:sz w:val="20"/>
          <w:szCs w:val="20"/>
          <w:color w:val="auto"/>
        </w:rPr>
      </w:pPr>
    </w:p>
    <w:p>
      <w:pPr>
        <w:ind w:left="140" w:right="419"/>
        <w:spacing w:after="0" w:line="332" w:lineRule="auto"/>
        <w:rPr>
          <w:sz w:val="20"/>
          <w:szCs w:val="20"/>
          <w:color w:val="auto"/>
        </w:rPr>
      </w:pPr>
      <w:r>
        <w:rPr>
          <w:rFonts w:ascii="Arial" w:cs="Arial" w:eastAsia="Arial" w:hAnsi="Arial"/>
          <w:sz w:val="16"/>
          <w:szCs w:val="16"/>
          <w:b w:val="1"/>
          <w:bCs w:val="1"/>
          <w:color w:val="auto"/>
        </w:rPr>
        <w:t>The employment agreements and Severance Plan provide us and our shareholders with important protections and rights, including the following:</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431C5B"/>
        </w:rPr>
        <w:t>Exception/Protections</w:t>
      </w:r>
    </w:p>
    <w:p>
      <w:pPr>
        <w:spacing w:after="0" w:line="64" w:lineRule="exact"/>
        <w:rPr>
          <w:sz w:val="20"/>
          <w:szCs w:val="20"/>
          <w:color w:val="auto"/>
        </w:rPr>
      </w:pPr>
    </w:p>
    <w:p>
      <w:pPr>
        <w:ind w:left="200" w:right="319"/>
        <w:spacing w:after="0" w:line="299" w:lineRule="auto"/>
        <w:rPr>
          <w:sz w:val="20"/>
          <w:szCs w:val="20"/>
          <w:color w:val="auto"/>
        </w:rPr>
      </w:pPr>
      <w:r>
        <w:rPr>
          <w:rFonts w:ascii="Arial" w:cs="Arial" w:eastAsia="Arial" w:hAnsi="Arial"/>
          <w:sz w:val="16"/>
          <w:szCs w:val="16"/>
          <w:color w:val="auto"/>
        </w:rPr>
        <w:t>Severance benefits under the agreements and the Severance Plan are conditioned upon the executive’s execution of a full release of FIS and related parties, thus limiting our exposure to lawsuits from the executive;</w:t>
      </w:r>
    </w:p>
    <w:p>
      <w:pPr>
        <w:spacing w:after="0" w:line="1" w:lineRule="exact"/>
        <w:rPr>
          <w:sz w:val="20"/>
          <w:szCs w:val="20"/>
          <w:color w:val="auto"/>
        </w:rPr>
      </w:pPr>
    </w:p>
    <w:p>
      <w:pPr>
        <w:ind w:left="200" w:right="319"/>
        <w:spacing w:after="0" w:line="292" w:lineRule="auto"/>
        <w:rPr>
          <w:sz w:val="20"/>
          <w:szCs w:val="20"/>
          <w:color w:val="auto"/>
        </w:rPr>
      </w:pPr>
      <w:r>
        <w:rPr>
          <w:rFonts w:ascii="Arial" w:cs="Arial" w:eastAsia="Arial" w:hAnsi="Arial"/>
          <w:sz w:val="16"/>
          <w:szCs w:val="16"/>
          <w:color w:val="auto"/>
        </w:rPr>
        <w:t>During the executive’s employment with us and in the one-year period following termination of employment, the executive is prohibited from competing with us and from soliciting our customers, suppliers or employees on behalf of a competitor; and</w:t>
      </w:r>
    </w:p>
    <w:p>
      <w:pPr>
        <w:spacing w:after="0" w:line="3" w:lineRule="exact"/>
        <w:rPr>
          <w:sz w:val="20"/>
          <w:szCs w:val="20"/>
          <w:color w:val="auto"/>
        </w:rPr>
      </w:pPr>
    </w:p>
    <w:p>
      <w:pPr>
        <w:ind w:left="200" w:right="899"/>
        <w:spacing w:after="0" w:line="321" w:lineRule="auto"/>
        <w:rPr>
          <w:sz w:val="20"/>
          <w:szCs w:val="20"/>
          <w:color w:val="auto"/>
        </w:rPr>
      </w:pPr>
      <w:r>
        <w:rPr>
          <w:rFonts w:ascii="Arial" w:cs="Arial" w:eastAsia="Arial" w:hAnsi="Arial"/>
          <w:sz w:val="16"/>
          <w:szCs w:val="16"/>
          <w:color w:val="auto"/>
        </w:rPr>
        <w:t>During employment and at all times thereafter the executive shall maintain the confidentiality of our confidential information and trade secrets.</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Potential Payments Under Stock Plans</w:t>
      </w:r>
    </w:p>
    <w:p>
      <w:pPr>
        <w:spacing w:after="0" w:line="87" w:lineRule="exact"/>
        <w:rPr>
          <w:sz w:val="20"/>
          <w:szCs w:val="20"/>
          <w:color w:val="auto"/>
        </w:rPr>
      </w:pPr>
    </w:p>
    <w:p>
      <w:pPr>
        <w:ind w:left="140" w:right="179"/>
        <w:spacing w:after="0" w:line="287" w:lineRule="auto"/>
        <w:rPr>
          <w:sz w:val="20"/>
          <w:szCs w:val="20"/>
          <w:color w:val="auto"/>
        </w:rPr>
      </w:pPr>
      <w:r>
        <w:rPr>
          <w:rFonts w:ascii="Arial" w:cs="Arial" w:eastAsia="Arial" w:hAnsi="Arial"/>
          <w:sz w:val="16"/>
          <w:szCs w:val="16"/>
          <w:color w:val="auto"/>
        </w:rPr>
        <w:t>In addition to the post-termination rights and obligations provided in the employment agreements, our 2008 Omnibus Plan provides for the potential acceleration of vesting and, if applicable, payment of equity awards in connection with a change in control. Under the 2008 Omnibus Plan, equity awards that are assumed or replaced with a substantially equivalent award in connection with a change-in-control have a double trigger for accelerated vesting. The 2022 Omnibus Plan also has a similar double trigger change-in-control acceleration provision.</w:t>
      </w:r>
    </w:p>
    <w:p>
      <w:pPr>
        <w:spacing w:after="0" w:line="115" w:lineRule="exact"/>
        <w:rPr>
          <w:sz w:val="20"/>
          <w:szCs w:val="20"/>
          <w:color w:val="auto"/>
        </w:rPr>
      </w:pPr>
    </w:p>
    <w:p>
      <w:pPr>
        <w:ind w:left="140" w:right="539"/>
        <w:spacing w:after="0" w:line="332" w:lineRule="auto"/>
        <w:rPr>
          <w:sz w:val="20"/>
          <w:szCs w:val="20"/>
          <w:color w:val="auto"/>
        </w:rPr>
      </w:pPr>
      <w:r>
        <w:rPr>
          <w:rFonts w:ascii="Arial" w:cs="Arial" w:eastAsia="Arial" w:hAnsi="Arial"/>
          <w:sz w:val="16"/>
          <w:szCs w:val="16"/>
          <w:b w:val="1"/>
          <w:bCs w:val="1"/>
          <w:color w:val="auto"/>
        </w:rPr>
        <w:t>For purposes of the 2008 Omnibus Plan and the 2022 Omnibus Plan, the term “change in control” means the occurrence of any of the following events:</w:t>
      </w:r>
    </w:p>
    <w:p>
      <w:pPr>
        <w:spacing w:after="0" w:line="71" w:lineRule="exact"/>
        <w:rPr>
          <w:sz w:val="20"/>
          <w:szCs w:val="20"/>
          <w:color w:val="auto"/>
        </w:rPr>
      </w:pPr>
    </w:p>
    <w:p>
      <w:pPr>
        <w:ind w:left="320" w:right="199" w:hanging="190"/>
        <w:spacing w:after="0" w:line="316" w:lineRule="auto"/>
        <w:tabs>
          <w:tab w:leader="none" w:pos="3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 acquisition by an individual, entity or group of 25% or more of our voting power, excluding certain acquisitions including pursuant to a transaction where conditions described in clause (i), (ii) and (iii) in the bullet below are satisfied;</w:t>
      </w:r>
    </w:p>
    <w:p>
      <w:pPr>
        <w:spacing w:after="0" w:line="1" w:lineRule="exact"/>
        <w:rPr>
          <w:rFonts w:ascii="Arial" w:cs="Arial" w:eastAsia="Arial" w:hAnsi="Arial"/>
          <w:sz w:val="16"/>
          <w:szCs w:val="16"/>
          <w:color w:val="auto"/>
        </w:rPr>
      </w:pPr>
    </w:p>
    <w:p>
      <w:pPr>
        <w:ind w:left="320" w:right="219" w:hanging="190"/>
        <w:spacing w:after="0" w:line="282" w:lineRule="auto"/>
        <w:tabs>
          <w:tab w:leader="none" w:pos="3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Consummation of a reorganization, merger, consolidation or sale of all or substantially all of our assets, which we refer to as a “business combination” of FIS, unless, immediately following such business combination, (i) the persons who were the beneficial owners of our voting stock immediately prior to the business combination beneficially own more than 50% of our then outstanding shares, (ii) no person, entity or group beneficially owns 25% or more of the then outstanding shares of common stock of the entity resulting from that business combination, and (iii) at least a majority of the members of the board of the entity resulting from the business combination were members of our incumbent Board;</w:t>
      </w:r>
    </w:p>
    <w:p>
      <w:pPr>
        <w:spacing w:after="0" w:line="12" w:lineRule="exact"/>
        <w:rPr>
          <w:rFonts w:ascii="Arial" w:cs="Arial" w:eastAsia="Arial" w:hAnsi="Arial"/>
          <w:sz w:val="16"/>
          <w:szCs w:val="16"/>
          <w:color w:val="auto"/>
        </w:rPr>
      </w:pPr>
    </w:p>
    <w:p>
      <w:pPr>
        <w:ind w:left="320" w:right="299" w:hanging="190"/>
        <w:spacing w:after="0" w:line="308" w:lineRule="auto"/>
        <w:tabs>
          <w:tab w:leader="none" w:pos="3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During any period of two consecutive years, the individuals who, at the beginning of such period, constitute our Board cease for any reason to constitute at least a majority of the Board; or</w:t>
      </w:r>
    </w:p>
    <w:p>
      <w:pPr>
        <w:ind w:left="320" w:hanging="190"/>
        <w:spacing w:after="0"/>
        <w:tabs>
          <w:tab w:leader="none" w:pos="3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Our shareholders approve a plan or proposal for the liquidation or dissolution of FIS.</w:t>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Estimated Payments and Benefits Upon Termination of Employment</w:t>
      </w:r>
    </w:p>
    <w:p>
      <w:pPr>
        <w:spacing w:after="0" w:line="87" w:lineRule="exact"/>
        <w:rPr>
          <w:sz w:val="20"/>
          <w:szCs w:val="20"/>
          <w:color w:val="auto"/>
        </w:rPr>
      </w:pPr>
    </w:p>
    <w:p>
      <w:pPr>
        <w:ind w:left="140" w:right="359"/>
        <w:spacing w:after="0" w:line="287" w:lineRule="auto"/>
        <w:rPr>
          <w:sz w:val="20"/>
          <w:szCs w:val="20"/>
          <w:color w:val="auto"/>
        </w:rPr>
      </w:pPr>
      <w:r>
        <w:rPr>
          <w:rFonts w:ascii="Arial" w:cs="Arial" w:eastAsia="Arial" w:hAnsi="Arial"/>
          <w:sz w:val="16"/>
          <w:szCs w:val="16"/>
          <w:color w:val="auto"/>
        </w:rPr>
        <w:t>The severance amounts shown below do not include a prorated 2025 annual incentive, since such NEOs would have been paid based on their service through the end of the year and therefore would have received the amount whether or not the termination occurred. Any cash severance payments would be paid in a lump sum following the termination of employment. In connection with Mr. Bhathena’s resignation, he did not receive any severance or equity vestings, and accordingly is excluded from the tables below.</w:t>
      </w:r>
    </w:p>
    <w:p>
      <w:pPr>
        <w:spacing w:after="0" w:line="115" w:lineRule="exact"/>
        <w:rPr>
          <w:sz w:val="20"/>
          <w:szCs w:val="20"/>
          <w:color w:val="auto"/>
        </w:rPr>
      </w:pPr>
    </w:p>
    <w:p>
      <w:pPr>
        <w:ind w:left="140" w:right="779"/>
        <w:spacing w:after="0" w:line="301" w:lineRule="auto"/>
        <w:rPr>
          <w:sz w:val="20"/>
          <w:szCs w:val="20"/>
          <w:color w:val="auto"/>
        </w:rPr>
      </w:pPr>
      <w:r>
        <w:rPr>
          <w:rFonts w:ascii="Arial" w:cs="Arial" w:eastAsia="Arial" w:hAnsi="Arial"/>
          <w:sz w:val="16"/>
          <w:szCs w:val="16"/>
          <w:color w:val="auto"/>
        </w:rPr>
        <w:t>For a termination of employment by us without cause or a termination by the executive for good reason as of December 31, 2025, the following payments would be made under these NEOs’ employment agreements, except Mr. Toohey whose payment would be based on the Severance Plan:</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2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2720" w:type="dxa"/>
            <w:vAlign w:val="bottom"/>
            <w:tcBorders>
              <w:bottom w:val="single" w:sz="8" w:color="431C5B"/>
            </w:tcBorders>
          </w:tcPr>
          <w:p>
            <w:pPr>
              <w:jc w:val="right"/>
              <w:ind w:right="64"/>
              <w:spacing w:after="0"/>
              <w:rPr>
                <w:sz w:val="20"/>
                <w:szCs w:val="20"/>
                <w:color w:val="auto"/>
              </w:rPr>
            </w:pPr>
            <w:r>
              <w:rPr>
                <w:rFonts w:ascii="Arial" w:cs="Arial" w:eastAsia="Arial" w:hAnsi="Arial"/>
                <w:sz w:val="14"/>
                <w:szCs w:val="14"/>
                <w:b w:val="1"/>
                <w:bCs w:val="1"/>
                <w:color w:val="431C5B"/>
              </w:rPr>
              <w:t>Stephanie L. Ferris</w:t>
            </w:r>
          </w:p>
        </w:tc>
        <w:tc>
          <w:tcPr>
            <w:tcW w:w="1360" w:type="dxa"/>
            <w:vAlign w:val="bottom"/>
            <w:tcBorders>
              <w:bottom w:val="single" w:sz="8" w:color="431C5B"/>
            </w:tcBorders>
          </w:tcPr>
          <w:p>
            <w:pPr>
              <w:jc w:val="right"/>
              <w:ind w:right="64"/>
              <w:spacing w:after="0"/>
              <w:rPr>
                <w:sz w:val="20"/>
                <w:szCs w:val="20"/>
                <w:color w:val="auto"/>
              </w:rPr>
            </w:pPr>
            <w:r>
              <w:rPr>
                <w:rFonts w:ascii="Arial" w:cs="Arial" w:eastAsia="Arial" w:hAnsi="Arial"/>
                <w:sz w:val="14"/>
                <w:szCs w:val="14"/>
                <w:b w:val="1"/>
                <w:bCs w:val="1"/>
                <w:color w:val="431C5B"/>
              </w:rPr>
              <w:t>James Kehoe</w:t>
            </w:r>
          </w:p>
        </w:tc>
        <w:tc>
          <w:tcPr>
            <w:tcW w:w="1340" w:type="dxa"/>
            <w:vAlign w:val="bottom"/>
            <w:tcBorders>
              <w:bottom w:val="single" w:sz="8" w:color="431C5B"/>
            </w:tcBorders>
          </w:tcPr>
          <w:p>
            <w:pPr>
              <w:jc w:val="right"/>
              <w:ind w:right="64"/>
              <w:spacing w:after="0"/>
              <w:rPr>
                <w:sz w:val="20"/>
                <w:szCs w:val="20"/>
                <w:color w:val="auto"/>
              </w:rPr>
            </w:pPr>
            <w:r>
              <w:rPr>
                <w:rFonts w:ascii="Arial" w:cs="Arial" w:eastAsia="Arial" w:hAnsi="Arial"/>
                <w:sz w:val="14"/>
                <w:szCs w:val="14"/>
                <w:b w:val="1"/>
                <w:bCs w:val="1"/>
                <w:color w:val="431C5B"/>
              </w:rPr>
              <w:t>Robert Toohey</w:t>
            </w:r>
          </w:p>
        </w:tc>
        <w:tc>
          <w:tcPr>
            <w:tcW w:w="300" w:type="dxa"/>
            <w:vAlign w:val="bottom"/>
            <w:tcBorders>
              <w:bottom w:val="single" w:sz="8" w:color="431C5B"/>
            </w:tcBorders>
          </w:tcPr>
          <w:p>
            <w:pPr>
              <w:spacing w:after="0"/>
              <w:rPr>
                <w:sz w:val="14"/>
                <w:szCs w:val="14"/>
                <w:color w:val="auto"/>
              </w:rPr>
            </w:pPr>
          </w:p>
        </w:tc>
        <w:tc>
          <w:tcPr>
            <w:tcW w:w="102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Caroline Tsai</w:t>
            </w:r>
          </w:p>
        </w:tc>
      </w:tr>
      <w:tr>
        <w:trPr>
          <w:trHeight w:val="237"/>
        </w:trPr>
        <w:tc>
          <w:tcPr>
            <w:tcW w:w="202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color w:val="auto"/>
              </w:rPr>
              <w:t>Payment</w:t>
            </w:r>
          </w:p>
        </w:tc>
        <w:tc>
          <w:tcPr>
            <w:tcW w:w="2720" w:type="dxa"/>
            <w:vAlign w:val="bottom"/>
            <w:tcBorders>
              <w:bottom w:val="single" w:sz="8" w:color="431C5B"/>
            </w:tcBorders>
            <w:shd w:val="clear" w:color="auto" w:fill="EEFAEC"/>
          </w:tcPr>
          <w:p>
            <w:pPr>
              <w:jc w:val="right"/>
              <w:ind w:right="84"/>
              <w:spacing w:after="0"/>
              <w:rPr>
                <w:sz w:val="20"/>
                <w:szCs w:val="20"/>
                <w:color w:val="auto"/>
              </w:rPr>
            </w:pPr>
            <w:r>
              <w:rPr>
                <w:rFonts w:ascii="Arial" w:cs="Arial" w:eastAsia="Arial" w:hAnsi="Arial"/>
                <w:sz w:val="16"/>
                <w:szCs w:val="16"/>
                <w:color w:val="auto"/>
              </w:rPr>
              <w:t>$10,999,829</w:t>
            </w:r>
          </w:p>
        </w:tc>
        <w:tc>
          <w:tcPr>
            <w:tcW w:w="1360" w:type="dxa"/>
            <w:vAlign w:val="bottom"/>
            <w:tcBorders>
              <w:bottom w:val="single" w:sz="8" w:color="431C5B"/>
            </w:tcBorders>
            <w:shd w:val="clear" w:color="auto" w:fill="EEFAEC"/>
          </w:tcPr>
          <w:p>
            <w:pPr>
              <w:jc w:val="right"/>
              <w:ind w:right="84"/>
              <w:spacing w:after="0"/>
              <w:rPr>
                <w:sz w:val="20"/>
                <w:szCs w:val="20"/>
                <w:color w:val="auto"/>
              </w:rPr>
            </w:pPr>
            <w:r>
              <w:rPr>
                <w:rFonts w:ascii="Arial" w:cs="Arial" w:eastAsia="Arial" w:hAnsi="Arial"/>
                <w:sz w:val="16"/>
                <w:szCs w:val="16"/>
                <w:color w:val="auto"/>
              </w:rPr>
              <w:t>$   6,387,238</w:t>
            </w:r>
          </w:p>
        </w:tc>
        <w:tc>
          <w:tcPr>
            <w:tcW w:w="1340" w:type="dxa"/>
            <w:vAlign w:val="bottom"/>
            <w:tcBorders>
              <w:bottom w:val="single" w:sz="8" w:color="431C5B"/>
            </w:tcBorders>
            <w:shd w:val="clear" w:color="auto" w:fill="EEFAEC"/>
          </w:tcPr>
          <w:p>
            <w:pPr>
              <w:jc w:val="right"/>
              <w:ind w:right="84"/>
              <w:spacing w:after="0"/>
              <w:rPr>
                <w:sz w:val="20"/>
                <w:szCs w:val="20"/>
                <w:color w:val="auto"/>
              </w:rPr>
            </w:pPr>
            <w:r>
              <w:rPr>
                <w:rFonts w:ascii="Arial" w:cs="Arial" w:eastAsia="Arial" w:hAnsi="Arial"/>
                <w:sz w:val="16"/>
                <w:szCs w:val="16"/>
                <w:color w:val="auto"/>
              </w:rPr>
              <w:t>$   2,680,607</w:t>
            </w:r>
          </w:p>
        </w:tc>
        <w:tc>
          <w:tcPr>
            <w:tcW w:w="30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4,389,738</w:t>
            </w:r>
          </w:p>
        </w:tc>
      </w:tr>
    </w:tbl>
    <w:p>
      <w:pPr>
        <w:spacing w:after="0" w:line="200" w:lineRule="exact"/>
        <w:rPr>
          <w:sz w:val="20"/>
          <w:szCs w:val="20"/>
          <w:color w:val="auto"/>
        </w:rPr>
      </w:pP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0" w:hanging="429"/>
        <w:spacing w:after="0"/>
        <w:tabs>
          <w:tab w:leader="none" w:pos="620" w:val="left"/>
        </w:tabs>
        <w:numPr>
          <w:ilvl w:val="0"/>
          <w:numId w:val="116"/>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83" w:name="page84"/>
    <w:bookmarkEnd w:id="83"/>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200" w:lineRule="exact"/>
        <w:rPr>
          <w:sz w:val="20"/>
          <w:szCs w:val="20"/>
          <w:color w:val="auto"/>
        </w:rPr>
      </w:pPr>
    </w:p>
    <w:p>
      <w:pPr>
        <w:spacing w:after="0" w:line="215" w:lineRule="exact"/>
        <w:rPr>
          <w:sz w:val="20"/>
          <w:szCs w:val="20"/>
          <w:color w:val="auto"/>
        </w:rPr>
      </w:pPr>
    </w:p>
    <w:p>
      <w:pPr>
        <w:ind w:left="140" w:right="479"/>
        <w:spacing w:after="0" w:line="321" w:lineRule="auto"/>
        <w:rPr>
          <w:sz w:val="20"/>
          <w:szCs w:val="20"/>
          <w:color w:val="auto"/>
        </w:rPr>
      </w:pPr>
      <w:r>
        <w:rPr>
          <w:rFonts w:ascii="Arial" w:cs="Arial" w:eastAsia="Arial" w:hAnsi="Arial"/>
          <w:sz w:val="16"/>
          <w:szCs w:val="16"/>
          <w:color w:val="auto"/>
        </w:rPr>
        <w:t>Upon a termination of these executives’ employment due to death or disability as of December 31, 2025, the following payments would have been made:</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0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2240" w:type="dxa"/>
            <w:vAlign w:val="bottom"/>
            <w:tcBorders>
              <w:bottom w:val="single" w:sz="8" w:color="431C5B"/>
            </w:tcBorders>
          </w:tcPr>
          <w:p>
            <w:pPr>
              <w:jc w:val="right"/>
              <w:ind w:right="162"/>
              <w:spacing w:after="0"/>
              <w:rPr>
                <w:sz w:val="20"/>
                <w:szCs w:val="20"/>
                <w:color w:val="auto"/>
              </w:rPr>
            </w:pPr>
            <w:r>
              <w:rPr>
                <w:rFonts w:ascii="Arial" w:cs="Arial" w:eastAsia="Arial" w:hAnsi="Arial"/>
                <w:sz w:val="14"/>
                <w:szCs w:val="14"/>
                <w:b w:val="1"/>
                <w:bCs w:val="1"/>
                <w:color w:val="431C5B"/>
              </w:rPr>
              <w:t>Stephanie L. Ferris</w:t>
            </w:r>
          </w:p>
        </w:tc>
        <w:tc>
          <w:tcPr>
            <w:tcW w:w="136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James Kehoe</w:t>
            </w:r>
          </w:p>
        </w:tc>
        <w:tc>
          <w:tcPr>
            <w:tcW w:w="1440" w:type="dxa"/>
            <w:vAlign w:val="bottom"/>
            <w:tcBorders>
              <w:bottom w:val="single" w:sz="8" w:color="431C5B"/>
            </w:tcBorders>
          </w:tcPr>
          <w:p>
            <w:pPr>
              <w:ind w:left="180"/>
              <w:spacing w:after="0"/>
              <w:rPr>
                <w:sz w:val="20"/>
                <w:szCs w:val="20"/>
                <w:color w:val="auto"/>
              </w:rPr>
            </w:pPr>
            <w:r>
              <w:rPr>
                <w:rFonts w:ascii="Arial" w:cs="Arial" w:eastAsia="Arial" w:hAnsi="Arial"/>
                <w:sz w:val="14"/>
                <w:szCs w:val="14"/>
                <w:b w:val="1"/>
                <w:bCs w:val="1"/>
                <w:color w:val="431C5B"/>
              </w:rPr>
              <w:t>Robert Toohey</w:t>
            </w:r>
          </w:p>
        </w:tc>
        <w:tc>
          <w:tcPr>
            <w:tcW w:w="1220" w:type="dxa"/>
            <w:vAlign w:val="bottom"/>
            <w:tcBorders>
              <w:bottom w:val="single" w:sz="8" w:color="431C5B"/>
            </w:tcBorders>
            <w:gridSpan w:val="2"/>
          </w:tcPr>
          <w:p>
            <w:pPr>
              <w:jc w:val="right"/>
              <w:spacing w:after="0"/>
              <w:rPr>
                <w:sz w:val="20"/>
                <w:szCs w:val="20"/>
                <w:color w:val="auto"/>
              </w:rPr>
            </w:pPr>
            <w:r>
              <w:rPr>
                <w:rFonts w:ascii="Arial" w:cs="Arial" w:eastAsia="Arial" w:hAnsi="Arial"/>
                <w:sz w:val="14"/>
                <w:szCs w:val="14"/>
                <w:b w:val="1"/>
                <w:bCs w:val="1"/>
                <w:color w:val="431C5B"/>
              </w:rPr>
              <w:t>Caroline Tsai</w:t>
            </w:r>
          </w:p>
        </w:tc>
      </w:tr>
      <w:tr>
        <w:trPr>
          <w:trHeight w:val="236"/>
        </w:trPr>
        <w:tc>
          <w:tcPr>
            <w:tcW w:w="250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color w:val="auto"/>
              </w:rPr>
              <w:t>Payment upon death</w:t>
            </w:r>
          </w:p>
        </w:tc>
        <w:tc>
          <w:tcPr>
            <w:tcW w:w="2240" w:type="dxa"/>
            <w:vAlign w:val="bottom"/>
            <w:tcBorders>
              <w:bottom w:val="single" w:sz="8" w:color="E6E6E6"/>
            </w:tcBorders>
            <w:shd w:val="clear" w:color="auto" w:fill="EEFAEC"/>
          </w:tcPr>
          <w:p>
            <w:pPr>
              <w:jc w:val="right"/>
              <w:ind w:right="182"/>
              <w:spacing w:after="0"/>
              <w:rPr>
                <w:sz w:val="20"/>
                <w:szCs w:val="20"/>
                <w:color w:val="auto"/>
              </w:rPr>
            </w:pPr>
            <w:r>
              <w:rPr>
                <w:rFonts w:ascii="Arial" w:cs="Arial" w:eastAsia="Arial" w:hAnsi="Arial"/>
                <w:sz w:val="16"/>
                <w:szCs w:val="16"/>
                <w:color w:val="auto"/>
              </w:rPr>
              <w:t>$ 2,812,500</w:t>
            </w:r>
          </w:p>
        </w:tc>
        <w:tc>
          <w:tcPr>
            <w:tcW w:w="1360" w:type="dxa"/>
            <w:vAlign w:val="bottom"/>
            <w:tcBorders>
              <w:bottom w:val="single" w:sz="8" w:color="E6E6E6"/>
            </w:tcBorders>
            <w:shd w:val="clear" w:color="auto" w:fill="EEFAEC"/>
          </w:tcPr>
          <w:p>
            <w:pPr>
              <w:jc w:val="center"/>
              <w:ind w:left="22"/>
              <w:spacing w:after="0"/>
              <w:rPr>
                <w:sz w:val="20"/>
                <w:szCs w:val="20"/>
                <w:color w:val="auto"/>
              </w:rPr>
            </w:pPr>
            <w:r>
              <w:rPr>
                <w:rFonts w:ascii="Arial" w:cs="Arial" w:eastAsia="Arial" w:hAnsi="Arial"/>
                <w:sz w:val="16"/>
                <w:szCs w:val="16"/>
                <w:color w:val="auto"/>
              </w:rPr>
              <w:t>$ 1,462,500</w:t>
            </w:r>
          </w:p>
        </w:tc>
        <w:tc>
          <w:tcPr>
            <w:tcW w:w="1440" w:type="dxa"/>
            <w:vAlign w:val="bottom"/>
            <w:tcBorders>
              <w:bottom w:val="single" w:sz="8" w:color="E6E6E6"/>
            </w:tcBorders>
            <w:shd w:val="clear" w:color="auto" w:fill="EEFAEC"/>
          </w:tcPr>
          <w:p>
            <w:pPr>
              <w:ind w:left="9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980,000</w:t>
            </w:r>
          </w:p>
        </w:tc>
      </w:tr>
      <w:tr>
        <w:trPr>
          <w:trHeight w:val="237"/>
        </w:trPr>
        <w:tc>
          <w:tcPr>
            <w:tcW w:w="2500" w:type="dxa"/>
            <w:vAlign w:val="bottom"/>
            <w:tcBorders>
              <w:bottom w:val="single" w:sz="8" w:color="431C5B"/>
            </w:tcBorders>
          </w:tcPr>
          <w:p>
            <w:pPr>
              <w:ind w:left="80"/>
              <w:spacing w:after="0"/>
              <w:rPr>
                <w:sz w:val="20"/>
                <w:szCs w:val="20"/>
                <w:color w:val="auto"/>
              </w:rPr>
            </w:pPr>
            <w:r>
              <w:rPr>
                <w:rFonts w:ascii="Arial" w:cs="Arial" w:eastAsia="Arial" w:hAnsi="Arial"/>
                <w:sz w:val="16"/>
                <w:szCs w:val="16"/>
                <w:color w:val="auto"/>
              </w:rPr>
              <w:t>Payment upon disability</w:t>
            </w:r>
          </w:p>
        </w:tc>
        <w:tc>
          <w:tcPr>
            <w:tcW w:w="2240" w:type="dxa"/>
            <w:vAlign w:val="bottom"/>
            <w:tcBorders>
              <w:bottom w:val="single" w:sz="8" w:color="431C5B"/>
            </w:tcBorders>
          </w:tcPr>
          <w:p>
            <w:pPr>
              <w:jc w:val="right"/>
              <w:ind w:right="182"/>
              <w:spacing w:after="0"/>
              <w:rPr>
                <w:sz w:val="20"/>
                <w:szCs w:val="20"/>
                <w:color w:val="auto"/>
              </w:rPr>
            </w:pPr>
            <w:r>
              <w:rPr>
                <w:rFonts w:ascii="Arial" w:cs="Arial" w:eastAsia="Arial" w:hAnsi="Arial"/>
                <w:sz w:val="16"/>
                <w:szCs w:val="16"/>
                <w:color w:val="auto"/>
              </w:rPr>
              <w:t>$ 3,805,651</w:t>
            </w:r>
          </w:p>
        </w:tc>
        <w:tc>
          <w:tcPr>
            <w:tcW w:w="1360" w:type="dxa"/>
            <w:vAlign w:val="bottom"/>
            <w:tcBorders>
              <w:bottom w:val="single" w:sz="8" w:color="431C5B"/>
            </w:tcBorders>
          </w:tcPr>
          <w:p>
            <w:pPr>
              <w:jc w:val="center"/>
              <w:ind w:left="22"/>
              <w:spacing w:after="0"/>
              <w:rPr>
                <w:sz w:val="20"/>
                <w:szCs w:val="20"/>
                <w:color w:val="auto"/>
              </w:rPr>
            </w:pPr>
            <w:r>
              <w:rPr>
                <w:rFonts w:ascii="Arial" w:cs="Arial" w:eastAsia="Arial" w:hAnsi="Arial"/>
                <w:sz w:val="16"/>
                <w:szCs w:val="16"/>
                <w:color w:val="auto"/>
              </w:rPr>
              <w:t>$ 2,066,199</w:t>
            </w:r>
          </w:p>
        </w:tc>
        <w:tc>
          <w:tcPr>
            <w:tcW w:w="1440" w:type="dxa"/>
            <w:vAlign w:val="bottom"/>
            <w:tcBorders>
              <w:bottom w:val="single" w:sz="8" w:color="431C5B"/>
            </w:tcBorders>
          </w:tcPr>
          <w:p>
            <w:pPr>
              <w:ind w:left="9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1,052,877</w:t>
            </w:r>
          </w:p>
        </w:tc>
      </w:tr>
    </w:tbl>
    <w:p>
      <w:pPr>
        <w:spacing w:after="0" w:line="215" w:lineRule="exact"/>
        <w:rPr>
          <w:sz w:val="20"/>
          <w:szCs w:val="20"/>
          <w:color w:val="auto"/>
        </w:rPr>
      </w:pPr>
    </w:p>
    <w:p>
      <w:pPr>
        <w:ind w:left="140" w:right="439"/>
        <w:spacing w:after="0" w:line="289" w:lineRule="auto"/>
        <w:rPr>
          <w:sz w:val="20"/>
          <w:szCs w:val="20"/>
          <w:color w:val="auto"/>
        </w:rPr>
      </w:pPr>
      <w:r>
        <w:rPr>
          <w:rFonts w:ascii="Arial" w:cs="Arial" w:eastAsia="Arial" w:hAnsi="Arial"/>
          <w:sz w:val="16"/>
          <w:szCs w:val="16"/>
          <w:color w:val="auto"/>
        </w:rPr>
        <w:t>Upon a termination of these executives’ employment as of December 31, 2025 following a change in control (or in the case of Mses. Ferris and Tsai and Mr. Kehoe, if the Company gave them notice of an intention not to renew their employment agreements within one year (in the case of Mr. Kehoe or Ms. Tsai) or two years (in the case of Ms. Ferris) following a change of control), the following payments would have been made: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6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2580" w:type="dxa"/>
            <w:vAlign w:val="bottom"/>
            <w:tcBorders>
              <w:bottom w:val="single" w:sz="8" w:color="431C5B"/>
            </w:tcBorders>
            <w:gridSpan w:val="2"/>
          </w:tcPr>
          <w:p>
            <w:pPr>
              <w:jc w:val="right"/>
              <w:spacing w:after="0"/>
              <w:rPr>
                <w:sz w:val="20"/>
                <w:szCs w:val="20"/>
                <w:color w:val="auto"/>
              </w:rPr>
            </w:pPr>
            <w:r>
              <w:rPr>
                <w:rFonts w:ascii="Arial" w:cs="Arial" w:eastAsia="Arial" w:hAnsi="Arial"/>
                <w:sz w:val="14"/>
                <w:szCs w:val="14"/>
                <w:b w:val="1"/>
                <w:bCs w:val="1"/>
                <w:color w:val="431C5B"/>
              </w:rPr>
              <w:t>Stephanie L. Ferris</w:t>
            </w:r>
          </w:p>
        </w:tc>
        <w:tc>
          <w:tcPr>
            <w:tcW w:w="1560" w:type="dxa"/>
            <w:vAlign w:val="bottom"/>
            <w:tcBorders>
              <w:bottom w:val="single" w:sz="8" w:color="431C5B"/>
            </w:tcBorders>
          </w:tcPr>
          <w:p>
            <w:pPr>
              <w:jc w:val="center"/>
              <w:ind w:left="164"/>
              <w:spacing w:after="0"/>
              <w:rPr>
                <w:sz w:val="20"/>
                <w:szCs w:val="20"/>
                <w:color w:val="auto"/>
              </w:rPr>
            </w:pPr>
            <w:r>
              <w:rPr>
                <w:rFonts w:ascii="Arial" w:cs="Arial" w:eastAsia="Arial" w:hAnsi="Arial"/>
                <w:sz w:val="14"/>
                <w:szCs w:val="14"/>
                <w:b w:val="1"/>
                <w:bCs w:val="1"/>
                <w:color w:val="431C5B"/>
              </w:rPr>
              <w:t>James Kehoe</w:t>
            </w:r>
          </w:p>
        </w:tc>
        <w:tc>
          <w:tcPr>
            <w:tcW w:w="1460" w:type="dxa"/>
            <w:vAlign w:val="bottom"/>
            <w:tcBorders>
              <w:bottom w:val="single" w:sz="8" w:color="431C5B"/>
            </w:tcBorders>
          </w:tcPr>
          <w:p>
            <w:pPr>
              <w:jc w:val="right"/>
              <w:ind w:right="184"/>
              <w:spacing w:after="0"/>
              <w:rPr>
                <w:sz w:val="20"/>
                <w:szCs w:val="20"/>
                <w:color w:val="auto"/>
              </w:rPr>
            </w:pPr>
            <w:r>
              <w:rPr>
                <w:rFonts w:ascii="Arial" w:cs="Arial" w:eastAsia="Arial" w:hAnsi="Arial"/>
                <w:sz w:val="14"/>
                <w:szCs w:val="14"/>
                <w:b w:val="1"/>
                <w:bCs w:val="1"/>
                <w:color w:val="431C5B"/>
              </w:rPr>
              <w:t>Robert Toohey</w:t>
            </w:r>
          </w:p>
        </w:tc>
        <w:tc>
          <w:tcPr>
            <w:tcW w:w="1200" w:type="dxa"/>
            <w:vAlign w:val="bottom"/>
            <w:tcBorders>
              <w:bottom w:val="single" w:sz="8" w:color="431C5B"/>
            </w:tcBorders>
          </w:tcPr>
          <w:p>
            <w:pPr>
              <w:jc w:val="center"/>
              <w:ind w:left="104"/>
              <w:spacing w:after="0"/>
              <w:rPr>
                <w:sz w:val="20"/>
                <w:szCs w:val="20"/>
                <w:color w:val="auto"/>
              </w:rPr>
            </w:pPr>
            <w:r>
              <w:rPr>
                <w:rFonts w:ascii="Arial" w:cs="Arial" w:eastAsia="Arial" w:hAnsi="Arial"/>
                <w:sz w:val="14"/>
                <w:szCs w:val="14"/>
                <w:b w:val="1"/>
                <w:bCs w:val="1"/>
                <w:color w:val="431C5B"/>
              </w:rPr>
              <w:t>Caroline Tsai</w:t>
            </w:r>
          </w:p>
        </w:tc>
      </w:tr>
      <w:tr>
        <w:trPr>
          <w:trHeight w:val="237"/>
        </w:trPr>
        <w:tc>
          <w:tcPr>
            <w:tcW w:w="196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color w:val="auto"/>
              </w:rPr>
              <w:t>Payment</w:t>
            </w:r>
          </w:p>
        </w:tc>
        <w:tc>
          <w:tcPr>
            <w:tcW w:w="1580" w:type="dxa"/>
            <w:vAlign w:val="bottom"/>
            <w:tcBorders>
              <w:bottom w:val="single" w:sz="8" w:color="431C5B"/>
            </w:tcBorders>
            <w:shd w:val="clear" w:color="auto" w:fill="EEFAEC"/>
          </w:tcPr>
          <w:p>
            <w:pPr>
              <w:spacing w:after="0"/>
              <w:rPr>
                <w:sz w:val="20"/>
                <w:szCs w:val="20"/>
                <w:color w:val="auto"/>
              </w:rPr>
            </w:pPr>
          </w:p>
        </w:tc>
        <w:tc>
          <w:tcPr>
            <w:tcW w:w="100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6"/>
                <w:szCs w:val="16"/>
                <w:color w:val="auto"/>
                <w:shd w:val="clear" w:color="auto" w:fill="EDFAEC"/>
              </w:rPr>
              <w:t>$15,062,329</w:t>
            </w:r>
          </w:p>
        </w:tc>
        <w:tc>
          <w:tcPr>
            <w:tcW w:w="1560" w:type="dxa"/>
            <w:vAlign w:val="bottom"/>
            <w:tcBorders>
              <w:bottom w:val="single" w:sz="8" w:color="431C5B"/>
            </w:tcBorders>
            <w:shd w:val="clear" w:color="auto" w:fill="EEFAEC"/>
          </w:tcPr>
          <w:p>
            <w:pPr>
              <w:jc w:val="right"/>
              <w:ind w:right="144"/>
              <w:spacing w:after="0"/>
              <w:rPr>
                <w:sz w:val="20"/>
                <w:szCs w:val="20"/>
                <w:color w:val="auto"/>
              </w:rPr>
            </w:pPr>
            <w:r>
              <w:rPr>
                <w:rFonts w:ascii="Arial" w:cs="Arial" w:eastAsia="Arial" w:hAnsi="Arial"/>
                <w:sz w:val="16"/>
                <w:szCs w:val="16"/>
                <w:color w:val="auto"/>
              </w:rPr>
              <w:t>$ 6,387,238</w:t>
            </w:r>
          </w:p>
        </w:tc>
        <w:tc>
          <w:tcPr>
            <w:tcW w:w="1460" w:type="dxa"/>
            <w:vAlign w:val="bottom"/>
            <w:tcBorders>
              <w:bottom w:val="single" w:sz="8" w:color="431C5B"/>
            </w:tcBorders>
            <w:shd w:val="clear" w:color="auto" w:fill="EEFAEC"/>
          </w:tcPr>
          <w:p>
            <w:pPr>
              <w:jc w:val="right"/>
              <w:ind w:right="204"/>
              <w:spacing w:after="0"/>
              <w:rPr>
                <w:sz w:val="20"/>
                <w:szCs w:val="20"/>
                <w:color w:val="auto"/>
              </w:rPr>
            </w:pPr>
            <w:r>
              <w:rPr>
                <w:rFonts w:ascii="Arial" w:cs="Arial" w:eastAsia="Arial" w:hAnsi="Arial"/>
                <w:sz w:val="16"/>
                <w:szCs w:val="16"/>
                <w:color w:val="auto"/>
              </w:rPr>
              <w:t>$ 4,370,910</w:t>
            </w:r>
          </w:p>
        </w:tc>
        <w:tc>
          <w:tcPr>
            <w:tcW w:w="120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$ 4,389,738</w:t>
            </w:r>
          </w:p>
        </w:tc>
      </w:tr>
    </w:tbl>
    <w:p>
      <w:pPr>
        <w:spacing w:after="0" w:line="215" w:lineRule="exact"/>
        <w:rPr>
          <w:sz w:val="20"/>
          <w:szCs w:val="20"/>
          <w:color w:val="auto"/>
        </w:rPr>
      </w:pPr>
    </w:p>
    <w:p>
      <w:pPr>
        <w:jc w:val="both"/>
        <w:ind w:left="140" w:right="179"/>
        <w:spacing w:after="0" w:line="292" w:lineRule="auto"/>
        <w:rPr>
          <w:sz w:val="20"/>
          <w:szCs w:val="20"/>
          <w:color w:val="auto"/>
        </w:rPr>
      </w:pPr>
      <w:r>
        <w:rPr>
          <w:rFonts w:ascii="Arial" w:cs="Arial" w:eastAsia="Arial" w:hAnsi="Arial"/>
          <w:sz w:val="16"/>
          <w:szCs w:val="16"/>
          <w:color w:val="auto"/>
        </w:rPr>
        <w:t>Under the Severance Plan, upon a termination of Mr. Toohey’s employment as of December 31, 2025 by the Company for reasons directly related to performance outside of the Change in Control Protection Period, the following payments would have been made:</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1180" w:type="dxa"/>
            <w:vAlign w:val="bottom"/>
            <w:tcBorders>
              <w:bottom w:val="single" w:sz="8" w:color="431C5B"/>
            </w:tcBorders>
          </w:tcPr>
          <w:p>
            <w:pPr>
              <w:spacing w:after="0"/>
              <w:rPr>
                <w:sz w:val="14"/>
                <w:szCs w:val="14"/>
                <w:color w:val="auto"/>
              </w:rPr>
            </w:pPr>
          </w:p>
        </w:tc>
        <w:tc>
          <w:tcPr>
            <w:tcW w:w="276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Robert Toohey</w:t>
            </w:r>
          </w:p>
        </w:tc>
      </w:tr>
      <w:tr>
        <w:trPr>
          <w:trHeight w:val="235"/>
        </w:trPr>
        <w:tc>
          <w:tcPr>
            <w:tcW w:w="482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color w:val="auto"/>
              </w:rPr>
              <w:t>Payment</w:t>
            </w:r>
          </w:p>
        </w:tc>
        <w:tc>
          <w:tcPr>
            <w:tcW w:w="1180" w:type="dxa"/>
            <w:vAlign w:val="bottom"/>
            <w:tcBorders>
              <w:bottom w:val="single" w:sz="8" w:color="431C5B"/>
            </w:tcBorders>
            <w:shd w:val="clear" w:color="auto" w:fill="EDFAEC"/>
          </w:tcPr>
          <w:p>
            <w:pPr>
              <w:spacing w:after="0"/>
              <w:rPr>
                <w:sz w:val="20"/>
                <w:szCs w:val="20"/>
                <w:color w:val="auto"/>
              </w:rPr>
            </w:pPr>
          </w:p>
        </w:tc>
        <w:tc>
          <w:tcPr>
            <w:tcW w:w="276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$360,303</w:t>
            </w:r>
          </w:p>
        </w:tc>
      </w:tr>
    </w:tbl>
    <w:p>
      <w:pPr>
        <w:spacing w:after="0" w:line="232"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Estimated Equity Values</w:t>
      </w:r>
    </w:p>
    <w:p>
      <w:pPr>
        <w:spacing w:after="0" w:line="101" w:lineRule="exact"/>
        <w:rPr>
          <w:sz w:val="20"/>
          <w:szCs w:val="20"/>
          <w:color w:val="auto"/>
        </w:rPr>
      </w:pPr>
    </w:p>
    <w:p>
      <w:pPr>
        <w:ind w:left="140" w:right="139"/>
        <w:spacing w:after="0" w:line="289" w:lineRule="auto"/>
        <w:rPr>
          <w:sz w:val="20"/>
          <w:szCs w:val="20"/>
          <w:color w:val="auto"/>
        </w:rPr>
      </w:pPr>
      <w:r>
        <w:rPr>
          <w:rFonts w:ascii="Arial" w:cs="Arial" w:eastAsia="Arial" w:hAnsi="Arial"/>
          <w:sz w:val="16"/>
          <w:szCs w:val="16"/>
          <w:color w:val="auto"/>
        </w:rPr>
        <w:t>As disclosed in the Outstanding Equity Awards at Fiscal Year-End table, the NEOs had outstanding unvested stock options (“Stock Options”), performance stock units, and restricted stock unit awards (collectively, the “Stock Awards”) as of December 31, 2025. In connection with Mr. Bhathena’s resignation, he did not receive any severance or equity vestings, and accordingly is excluded from the tables below.</w:t>
      </w:r>
    </w:p>
    <w:p>
      <w:pPr>
        <w:spacing w:after="0" w:line="113" w:lineRule="exact"/>
        <w:rPr>
          <w:sz w:val="20"/>
          <w:szCs w:val="20"/>
          <w:color w:val="auto"/>
        </w:rPr>
      </w:pPr>
    </w:p>
    <w:p>
      <w:pPr>
        <w:ind w:left="140" w:right="179"/>
        <w:spacing w:after="0" w:line="289" w:lineRule="auto"/>
        <w:rPr>
          <w:sz w:val="20"/>
          <w:szCs w:val="20"/>
          <w:color w:val="auto"/>
        </w:rPr>
      </w:pPr>
      <w:r>
        <w:rPr>
          <w:rFonts w:ascii="Arial" w:cs="Arial" w:eastAsia="Arial" w:hAnsi="Arial"/>
          <w:sz w:val="16"/>
          <w:szCs w:val="16"/>
          <w:color w:val="auto"/>
        </w:rPr>
        <w:t xml:space="preserve">The following estimates are based on a stock price of </w:t>
      </w:r>
      <w:r>
        <w:rPr>
          <w:rFonts w:ascii="Arial" w:cs="Arial" w:eastAsia="Arial" w:hAnsi="Arial"/>
          <w:sz w:val="16"/>
          <w:szCs w:val="16"/>
          <w:color w:val="auto"/>
          <w:highlight w:val="white"/>
        </w:rPr>
        <w:t>$66.46</w:t>
      </w:r>
      <w:r>
        <w:rPr>
          <w:rFonts w:ascii="Arial" w:cs="Arial" w:eastAsia="Arial" w:hAnsi="Arial"/>
          <w:sz w:val="16"/>
          <w:szCs w:val="16"/>
          <w:color w:val="auto"/>
        </w:rPr>
        <w:t xml:space="preserve"> per share, which was the closing price of our common stock on December 31, 2025. Because the Stock Options all have an exercise price that is greater than $66.46, the estimated value of the Stock Options is $0. The estimated values of the Stock Awards were determined by multiplying the number of shares that would vest by </w:t>
      </w:r>
      <w:r>
        <w:rPr>
          <w:rFonts w:ascii="Arial" w:cs="Arial" w:eastAsia="Arial" w:hAnsi="Arial"/>
          <w:sz w:val="16"/>
          <w:szCs w:val="16"/>
          <w:color w:val="auto"/>
          <w:highlight w:val="white"/>
        </w:rPr>
        <w:t>$66.46.</w:t>
      </w:r>
    </w:p>
    <w:p>
      <w:pPr>
        <w:spacing w:after="0" w:line="126" w:lineRule="exact"/>
        <w:rPr>
          <w:sz w:val="20"/>
          <w:szCs w:val="20"/>
          <w:color w:val="auto"/>
        </w:rPr>
      </w:pPr>
    </w:p>
    <w:p>
      <w:pPr>
        <w:ind w:left="140" w:right="179"/>
        <w:spacing w:after="0" w:line="304" w:lineRule="auto"/>
        <w:rPr>
          <w:sz w:val="20"/>
          <w:szCs w:val="20"/>
          <w:color w:val="auto"/>
        </w:rPr>
      </w:pPr>
      <w:r>
        <w:rPr>
          <w:rFonts w:ascii="Arial" w:cs="Arial" w:eastAsia="Arial" w:hAnsi="Arial"/>
          <w:sz w:val="16"/>
          <w:szCs w:val="16"/>
          <w:color w:val="auto"/>
          <w:highlight w:val="white"/>
        </w:rPr>
        <w:t>The estimated value of Stock Awards held by the NEOs that would vest in connection with termination of each executive’s employment by the Company without cause or by the executive for good reason would be as follows: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8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2560" w:type="dxa"/>
            <w:vAlign w:val="bottom"/>
            <w:tcBorders>
              <w:bottom w:val="single" w:sz="8" w:color="431C5B"/>
            </w:tcBorders>
          </w:tcPr>
          <w:p>
            <w:pPr>
              <w:jc w:val="right"/>
              <w:ind w:right="144"/>
              <w:spacing w:after="0"/>
              <w:rPr>
                <w:sz w:val="20"/>
                <w:szCs w:val="20"/>
                <w:color w:val="auto"/>
              </w:rPr>
            </w:pPr>
            <w:r>
              <w:rPr>
                <w:rFonts w:ascii="Arial" w:cs="Arial" w:eastAsia="Arial" w:hAnsi="Arial"/>
                <w:sz w:val="14"/>
                <w:szCs w:val="14"/>
                <w:b w:val="1"/>
                <w:bCs w:val="1"/>
                <w:color w:val="431C5B"/>
              </w:rPr>
              <w:t>Stephanie L. Ferris</w:t>
            </w:r>
          </w:p>
        </w:tc>
        <w:tc>
          <w:tcPr>
            <w:tcW w:w="1300" w:type="dxa"/>
            <w:vAlign w:val="bottom"/>
            <w:tcBorders>
              <w:bottom w:val="single" w:sz="8" w:color="431C5B"/>
            </w:tcBorders>
          </w:tcPr>
          <w:p>
            <w:pPr>
              <w:ind w:left="200"/>
              <w:spacing w:after="0"/>
              <w:rPr>
                <w:sz w:val="20"/>
                <w:szCs w:val="20"/>
                <w:color w:val="auto"/>
              </w:rPr>
            </w:pPr>
            <w:r>
              <w:rPr>
                <w:rFonts w:ascii="Arial" w:cs="Arial" w:eastAsia="Arial" w:hAnsi="Arial"/>
                <w:sz w:val="14"/>
                <w:szCs w:val="14"/>
                <w:b w:val="1"/>
                <w:bCs w:val="1"/>
                <w:color w:val="431C5B"/>
              </w:rPr>
              <w:t>James Kehoe</w:t>
            </w:r>
          </w:p>
        </w:tc>
        <w:tc>
          <w:tcPr>
            <w:tcW w:w="1420" w:type="dxa"/>
            <w:vAlign w:val="bottom"/>
            <w:tcBorders>
              <w:bottom w:val="single" w:sz="8" w:color="431C5B"/>
            </w:tcBorders>
          </w:tcPr>
          <w:p>
            <w:pPr>
              <w:jc w:val="right"/>
              <w:ind w:right="164"/>
              <w:spacing w:after="0"/>
              <w:rPr>
                <w:sz w:val="20"/>
                <w:szCs w:val="20"/>
                <w:color w:val="auto"/>
              </w:rPr>
            </w:pPr>
            <w:r>
              <w:rPr>
                <w:rFonts w:ascii="Arial" w:cs="Arial" w:eastAsia="Arial" w:hAnsi="Arial"/>
                <w:sz w:val="14"/>
                <w:szCs w:val="14"/>
                <w:b w:val="1"/>
                <w:bCs w:val="1"/>
                <w:color w:val="431C5B"/>
              </w:rPr>
              <w:t>Robert Toohey</w:t>
            </w:r>
          </w:p>
        </w:tc>
        <w:tc>
          <w:tcPr>
            <w:tcW w:w="1200" w:type="dxa"/>
            <w:vAlign w:val="bottom"/>
            <w:tcBorders>
              <w:bottom w:val="single" w:sz="8" w:color="431C5B"/>
            </w:tcBorders>
          </w:tcPr>
          <w:p>
            <w:pPr>
              <w:ind w:left="240"/>
              <w:spacing w:after="0"/>
              <w:rPr>
                <w:sz w:val="20"/>
                <w:szCs w:val="20"/>
                <w:color w:val="auto"/>
              </w:rPr>
            </w:pPr>
            <w:r>
              <w:rPr>
                <w:rFonts w:ascii="Arial" w:cs="Arial" w:eastAsia="Arial" w:hAnsi="Arial"/>
                <w:sz w:val="14"/>
                <w:szCs w:val="14"/>
                <w:b w:val="1"/>
                <w:bCs w:val="1"/>
                <w:color w:val="431C5B"/>
              </w:rPr>
              <w:t>Caroline Tsai</w:t>
            </w:r>
          </w:p>
        </w:tc>
      </w:tr>
      <w:tr>
        <w:trPr>
          <w:trHeight w:val="237"/>
        </w:trPr>
        <w:tc>
          <w:tcPr>
            <w:tcW w:w="228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color w:val="auto"/>
              </w:rPr>
              <w:t>Estimated Value</w:t>
            </w:r>
          </w:p>
        </w:tc>
        <w:tc>
          <w:tcPr>
            <w:tcW w:w="2560" w:type="dxa"/>
            <w:vAlign w:val="bottom"/>
            <w:tcBorders>
              <w:bottom w:val="single" w:sz="8" w:color="431C5B"/>
            </w:tcBorders>
            <w:shd w:val="clear" w:color="auto" w:fill="EEFAEC"/>
          </w:tcPr>
          <w:p>
            <w:pPr>
              <w:jc w:val="right"/>
              <w:ind w:right="164"/>
              <w:spacing w:after="0"/>
              <w:rPr>
                <w:sz w:val="20"/>
                <w:szCs w:val="20"/>
                <w:color w:val="auto"/>
              </w:rPr>
            </w:pPr>
            <w:r>
              <w:rPr>
                <w:rFonts w:ascii="Arial" w:cs="Arial" w:eastAsia="Arial" w:hAnsi="Arial"/>
                <w:sz w:val="16"/>
                <w:szCs w:val="16"/>
                <w:color w:val="auto"/>
              </w:rPr>
              <w:t>$45,407,466</w:t>
            </w:r>
          </w:p>
        </w:tc>
        <w:tc>
          <w:tcPr>
            <w:tcW w:w="1300" w:type="dxa"/>
            <w:vAlign w:val="bottom"/>
            <w:tcBorders>
              <w:bottom w:val="single" w:sz="8" w:color="431C5B"/>
            </w:tcBorders>
            <w:shd w:val="clear" w:color="auto" w:fill="EEFAEC"/>
          </w:tcPr>
          <w:p>
            <w:pPr>
              <w:ind w:left="220"/>
              <w:spacing w:after="0"/>
              <w:rPr>
                <w:sz w:val="20"/>
                <w:szCs w:val="20"/>
                <w:color w:val="auto"/>
              </w:rPr>
            </w:pPr>
            <w:r>
              <w:rPr>
                <w:rFonts w:ascii="Arial" w:cs="Arial" w:eastAsia="Arial" w:hAnsi="Arial"/>
                <w:sz w:val="16"/>
                <w:szCs w:val="16"/>
                <w:color w:val="auto"/>
              </w:rPr>
              <w:t>$15,070,536</w:t>
            </w:r>
          </w:p>
        </w:tc>
        <w:tc>
          <w:tcPr>
            <w:tcW w:w="1420" w:type="dxa"/>
            <w:vAlign w:val="bottom"/>
            <w:tcBorders>
              <w:bottom w:val="single" w:sz="8" w:color="431C5B"/>
            </w:tcBorders>
            <w:shd w:val="clear" w:color="auto" w:fill="EEFAEC"/>
          </w:tcPr>
          <w:p>
            <w:pPr>
              <w:jc w:val="right"/>
              <w:ind w:right="184"/>
              <w:spacing w:after="0"/>
              <w:rPr>
                <w:sz w:val="20"/>
                <w:szCs w:val="20"/>
                <w:color w:val="auto"/>
              </w:rPr>
            </w:pPr>
            <w:r>
              <w:rPr>
                <w:rFonts w:ascii="Arial" w:cs="Arial" w:eastAsia="Arial" w:hAnsi="Arial"/>
                <w:sz w:val="16"/>
                <w:szCs w:val="16"/>
                <w:color w:val="auto"/>
              </w:rPr>
              <w:t>$1,150,356</w:t>
            </w:r>
          </w:p>
        </w:tc>
        <w:tc>
          <w:tcPr>
            <w:tcW w:w="1200" w:type="dxa"/>
            <w:vAlign w:val="bottom"/>
            <w:tcBorders>
              <w:bottom w:val="single" w:sz="8" w:color="431C5B"/>
            </w:tcBorders>
            <w:shd w:val="clear" w:color="auto" w:fill="EEFAEC"/>
          </w:tcPr>
          <w:p>
            <w:pPr>
              <w:ind w:left="240"/>
              <w:spacing w:after="0"/>
              <w:rPr>
                <w:sz w:val="20"/>
                <w:szCs w:val="20"/>
                <w:color w:val="auto"/>
              </w:rPr>
            </w:pPr>
            <w:r>
              <w:rPr>
                <w:rFonts w:ascii="Arial" w:cs="Arial" w:eastAsia="Arial" w:hAnsi="Arial"/>
                <w:sz w:val="16"/>
                <w:szCs w:val="16"/>
                <w:color w:val="auto"/>
              </w:rPr>
              <w:t>$10,730,499</w:t>
            </w:r>
          </w:p>
        </w:tc>
      </w:tr>
    </w:tbl>
    <w:p>
      <w:pPr>
        <w:spacing w:after="0" w:line="202" w:lineRule="exact"/>
        <w:rPr>
          <w:sz w:val="20"/>
          <w:szCs w:val="20"/>
          <w:color w:val="auto"/>
        </w:rPr>
      </w:pPr>
    </w:p>
    <w:p>
      <w:pPr>
        <w:ind w:left="140" w:right="179"/>
        <w:spacing w:after="0" w:line="321" w:lineRule="auto"/>
        <w:rPr>
          <w:sz w:val="20"/>
          <w:szCs w:val="20"/>
          <w:color w:val="auto"/>
        </w:rPr>
      </w:pPr>
      <w:r>
        <w:rPr>
          <w:rFonts w:ascii="Arial" w:cs="Arial" w:eastAsia="Arial" w:hAnsi="Arial"/>
          <w:sz w:val="16"/>
          <w:szCs w:val="16"/>
          <w:color w:val="auto"/>
          <w:highlight w:val="white"/>
        </w:rPr>
        <w:t>The estimated value of Stock Awards held by the NEOs that would vest in connection with termination of each executive’s employment due to death or disability would be as follows: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8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2560" w:type="dxa"/>
            <w:vAlign w:val="bottom"/>
            <w:tcBorders>
              <w:bottom w:val="single" w:sz="8" w:color="431C5B"/>
            </w:tcBorders>
          </w:tcPr>
          <w:p>
            <w:pPr>
              <w:jc w:val="right"/>
              <w:ind w:right="144"/>
              <w:spacing w:after="0"/>
              <w:rPr>
                <w:sz w:val="20"/>
                <w:szCs w:val="20"/>
                <w:color w:val="auto"/>
              </w:rPr>
            </w:pPr>
            <w:r>
              <w:rPr>
                <w:rFonts w:ascii="Arial" w:cs="Arial" w:eastAsia="Arial" w:hAnsi="Arial"/>
                <w:sz w:val="14"/>
                <w:szCs w:val="14"/>
                <w:b w:val="1"/>
                <w:bCs w:val="1"/>
                <w:color w:val="431C5B"/>
              </w:rPr>
              <w:t>Stephanie L. Ferris</w:t>
            </w:r>
          </w:p>
        </w:tc>
        <w:tc>
          <w:tcPr>
            <w:tcW w:w="1300" w:type="dxa"/>
            <w:vAlign w:val="bottom"/>
            <w:tcBorders>
              <w:bottom w:val="single" w:sz="8" w:color="431C5B"/>
            </w:tcBorders>
          </w:tcPr>
          <w:p>
            <w:pPr>
              <w:ind w:left="200"/>
              <w:spacing w:after="0"/>
              <w:rPr>
                <w:sz w:val="20"/>
                <w:szCs w:val="20"/>
                <w:color w:val="auto"/>
              </w:rPr>
            </w:pPr>
            <w:r>
              <w:rPr>
                <w:rFonts w:ascii="Arial" w:cs="Arial" w:eastAsia="Arial" w:hAnsi="Arial"/>
                <w:sz w:val="14"/>
                <w:szCs w:val="14"/>
                <w:b w:val="1"/>
                <w:bCs w:val="1"/>
                <w:color w:val="431C5B"/>
              </w:rPr>
              <w:t>James Kehoe</w:t>
            </w:r>
          </w:p>
        </w:tc>
        <w:tc>
          <w:tcPr>
            <w:tcW w:w="1420" w:type="dxa"/>
            <w:vAlign w:val="bottom"/>
            <w:tcBorders>
              <w:bottom w:val="single" w:sz="8" w:color="431C5B"/>
            </w:tcBorders>
          </w:tcPr>
          <w:p>
            <w:pPr>
              <w:jc w:val="right"/>
              <w:ind w:right="164"/>
              <w:spacing w:after="0"/>
              <w:rPr>
                <w:sz w:val="20"/>
                <w:szCs w:val="20"/>
                <w:color w:val="auto"/>
              </w:rPr>
            </w:pPr>
            <w:r>
              <w:rPr>
                <w:rFonts w:ascii="Arial" w:cs="Arial" w:eastAsia="Arial" w:hAnsi="Arial"/>
                <w:sz w:val="14"/>
                <w:szCs w:val="14"/>
                <w:b w:val="1"/>
                <w:bCs w:val="1"/>
                <w:color w:val="431C5B"/>
              </w:rPr>
              <w:t>Robert Toohey</w:t>
            </w:r>
          </w:p>
        </w:tc>
        <w:tc>
          <w:tcPr>
            <w:tcW w:w="1200" w:type="dxa"/>
            <w:vAlign w:val="bottom"/>
            <w:tcBorders>
              <w:bottom w:val="single" w:sz="8" w:color="431C5B"/>
            </w:tcBorders>
          </w:tcPr>
          <w:p>
            <w:pPr>
              <w:ind w:left="240"/>
              <w:spacing w:after="0"/>
              <w:rPr>
                <w:sz w:val="20"/>
                <w:szCs w:val="20"/>
                <w:color w:val="auto"/>
              </w:rPr>
            </w:pPr>
            <w:r>
              <w:rPr>
                <w:rFonts w:ascii="Arial" w:cs="Arial" w:eastAsia="Arial" w:hAnsi="Arial"/>
                <w:sz w:val="14"/>
                <w:szCs w:val="14"/>
                <w:b w:val="1"/>
                <w:bCs w:val="1"/>
                <w:color w:val="431C5B"/>
              </w:rPr>
              <w:t>Caroline Tsai</w:t>
            </w:r>
          </w:p>
        </w:tc>
      </w:tr>
      <w:tr>
        <w:trPr>
          <w:trHeight w:val="236"/>
        </w:trPr>
        <w:tc>
          <w:tcPr>
            <w:tcW w:w="228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color w:val="auto"/>
              </w:rPr>
              <w:t>Estimated Value</w:t>
            </w:r>
          </w:p>
        </w:tc>
        <w:tc>
          <w:tcPr>
            <w:tcW w:w="2560" w:type="dxa"/>
            <w:vAlign w:val="bottom"/>
            <w:tcBorders>
              <w:bottom w:val="single" w:sz="8" w:color="431C5B"/>
            </w:tcBorders>
            <w:shd w:val="clear" w:color="auto" w:fill="EEFAEC"/>
          </w:tcPr>
          <w:p>
            <w:pPr>
              <w:jc w:val="right"/>
              <w:ind w:right="164"/>
              <w:spacing w:after="0"/>
              <w:rPr>
                <w:sz w:val="20"/>
                <w:szCs w:val="20"/>
                <w:color w:val="auto"/>
              </w:rPr>
            </w:pPr>
            <w:r>
              <w:rPr>
                <w:rFonts w:ascii="Arial" w:cs="Arial" w:eastAsia="Arial" w:hAnsi="Arial"/>
                <w:sz w:val="16"/>
                <w:szCs w:val="16"/>
                <w:color w:val="auto"/>
              </w:rPr>
              <w:t>$45,407,466</w:t>
            </w:r>
          </w:p>
        </w:tc>
        <w:tc>
          <w:tcPr>
            <w:tcW w:w="1300" w:type="dxa"/>
            <w:vAlign w:val="bottom"/>
            <w:tcBorders>
              <w:bottom w:val="single" w:sz="8" w:color="431C5B"/>
            </w:tcBorders>
            <w:shd w:val="clear" w:color="auto" w:fill="EEFAEC"/>
          </w:tcPr>
          <w:p>
            <w:pPr>
              <w:ind w:left="220"/>
              <w:spacing w:after="0"/>
              <w:rPr>
                <w:sz w:val="20"/>
                <w:szCs w:val="20"/>
                <w:color w:val="auto"/>
              </w:rPr>
            </w:pPr>
            <w:r>
              <w:rPr>
                <w:rFonts w:ascii="Arial" w:cs="Arial" w:eastAsia="Arial" w:hAnsi="Arial"/>
                <w:sz w:val="16"/>
                <w:szCs w:val="16"/>
                <w:color w:val="auto"/>
              </w:rPr>
              <w:t>$15,070,536</w:t>
            </w:r>
          </w:p>
        </w:tc>
        <w:tc>
          <w:tcPr>
            <w:tcW w:w="1420" w:type="dxa"/>
            <w:vAlign w:val="bottom"/>
            <w:tcBorders>
              <w:bottom w:val="single" w:sz="8" w:color="431C5B"/>
            </w:tcBorders>
            <w:shd w:val="clear" w:color="auto" w:fill="EEFAEC"/>
          </w:tcPr>
          <w:p>
            <w:pPr>
              <w:jc w:val="right"/>
              <w:ind w:right="184"/>
              <w:spacing w:after="0"/>
              <w:rPr>
                <w:sz w:val="20"/>
                <w:szCs w:val="20"/>
                <w:color w:val="auto"/>
              </w:rPr>
            </w:pPr>
            <w:r>
              <w:rPr>
                <w:rFonts w:ascii="Arial" w:cs="Arial" w:eastAsia="Arial" w:hAnsi="Arial"/>
                <w:sz w:val="16"/>
                <w:szCs w:val="16"/>
                <w:color w:val="auto"/>
              </w:rPr>
              <w:t>$5,421,076</w:t>
            </w:r>
          </w:p>
        </w:tc>
        <w:tc>
          <w:tcPr>
            <w:tcW w:w="1200" w:type="dxa"/>
            <w:vAlign w:val="bottom"/>
            <w:tcBorders>
              <w:bottom w:val="single" w:sz="8" w:color="431C5B"/>
            </w:tcBorders>
            <w:shd w:val="clear" w:color="auto" w:fill="EEFAEC"/>
          </w:tcPr>
          <w:p>
            <w:pPr>
              <w:ind w:left="240"/>
              <w:spacing w:after="0"/>
              <w:rPr>
                <w:sz w:val="20"/>
                <w:szCs w:val="20"/>
                <w:color w:val="auto"/>
              </w:rPr>
            </w:pPr>
            <w:r>
              <w:rPr>
                <w:rFonts w:ascii="Arial" w:cs="Arial" w:eastAsia="Arial" w:hAnsi="Arial"/>
                <w:sz w:val="16"/>
                <w:szCs w:val="16"/>
                <w:color w:val="auto"/>
              </w:rPr>
              <w:t>$10,730,499</w:t>
            </w:r>
          </w:p>
        </w:tc>
      </w:tr>
    </w:tbl>
    <w:p>
      <w:pPr>
        <w:spacing w:after="0" w:line="202" w:lineRule="exact"/>
        <w:rPr>
          <w:sz w:val="20"/>
          <w:szCs w:val="20"/>
          <w:color w:val="auto"/>
        </w:rPr>
      </w:pPr>
    </w:p>
    <w:p>
      <w:pPr>
        <w:jc w:val="both"/>
        <w:ind w:left="140" w:right="239"/>
        <w:spacing w:after="0" w:line="289" w:lineRule="auto"/>
        <w:rPr>
          <w:sz w:val="20"/>
          <w:szCs w:val="20"/>
          <w:color w:val="auto"/>
        </w:rPr>
      </w:pPr>
      <w:r>
        <w:rPr>
          <w:rFonts w:ascii="Arial" w:cs="Arial" w:eastAsia="Arial" w:hAnsi="Arial"/>
          <w:sz w:val="16"/>
          <w:szCs w:val="16"/>
          <w:color w:val="auto"/>
        </w:rPr>
        <w:t>The estimated value of Stock Awards held by the NEOs that would vest in connection with termination by the Company of each executive’s employment within two years after a change in control (or in the case of Mses. Ferris and Tsai and Mr. Kehoe, if the Company gave them notice of an intention not to renew their employment agreements within one year (in the case of Mr. Kehoe or Ms. Tsai) or two years (in the case of Ms. Ferris) following a change of control) would be as follows: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8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2560" w:type="dxa"/>
            <w:vAlign w:val="bottom"/>
            <w:tcBorders>
              <w:bottom w:val="single" w:sz="8" w:color="431C5B"/>
            </w:tcBorders>
          </w:tcPr>
          <w:p>
            <w:pPr>
              <w:jc w:val="right"/>
              <w:ind w:right="144"/>
              <w:spacing w:after="0"/>
              <w:rPr>
                <w:sz w:val="20"/>
                <w:szCs w:val="20"/>
                <w:color w:val="auto"/>
              </w:rPr>
            </w:pPr>
            <w:r>
              <w:rPr>
                <w:rFonts w:ascii="Arial" w:cs="Arial" w:eastAsia="Arial" w:hAnsi="Arial"/>
                <w:sz w:val="14"/>
                <w:szCs w:val="14"/>
                <w:b w:val="1"/>
                <w:bCs w:val="1"/>
                <w:color w:val="431C5B"/>
              </w:rPr>
              <w:t>Stephanie L. Ferris</w:t>
            </w:r>
          </w:p>
        </w:tc>
        <w:tc>
          <w:tcPr>
            <w:tcW w:w="1300" w:type="dxa"/>
            <w:vAlign w:val="bottom"/>
            <w:tcBorders>
              <w:bottom w:val="single" w:sz="8" w:color="431C5B"/>
            </w:tcBorders>
          </w:tcPr>
          <w:p>
            <w:pPr>
              <w:ind w:left="200"/>
              <w:spacing w:after="0"/>
              <w:rPr>
                <w:sz w:val="20"/>
                <w:szCs w:val="20"/>
                <w:color w:val="auto"/>
              </w:rPr>
            </w:pPr>
            <w:r>
              <w:rPr>
                <w:rFonts w:ascii="Arial" w:cs="Arial" w:eastAsia="Arial" w:hAnsi="Arial"/>
                <w:sz w:val="14"/>
                <w:szCs w:val="14"/>
                <w:b w:val="1"/>
                <w:bCs w:val="1"/>
                <w:color w:val="431C5B"/>
              </w:rPr>
              <w:t>James Kehoe</w:t>
            </w:r>
          </w:p>
        </w:tc>
        <w:tc>
          <w:tcPr>
            <w:tcW w:w="1420" w:type="dxa"/>
            <w:vAlign w:val="bottom"/>
            <w:tcBorders>
              <w:bottom w:val="single" w:sz="8" w:color="431C5B"/>
            </w:tcBorders>
          </w:tcPr>
          <w:p>
            <w:pPr>
              <w:jc w:val="right"/>
              <w:ind w:right="164"/>
              <w:spacing w:after="0"/>
              <w:rPr>
                <w:sz w:val="20"/>
                <w:szCs w:val="20"/>
                <w:color w:val="auto"/>
              </w:rPr>
            </w:pPr>
            <w:r>
              <w:rPr>
                <w:rFonts w:ascii="Arial" w:cs="Arial" w:eastAsia="Arial" w:hAnsi="Arial"/>
                <w:sz w:val="14"/>
                <w:szCs w:val="14"/>
                <w:b w:val="1"/>
                <w:bCs w:val="1"/>
                <w:color w:val="431C5B"/>
              </w:rPr>
              <w:t>Robert Toohey</w:t>
            </w:r>
          </w:p>
        </w:tc>
        <w:tc>
          <w:tcPr>
            <w:tcW w:w="1200" w:type="dxa"/>
            <w:vAlign w:val="bottom"/>
            <w:tcBorders>
              <w:bottom w:val="single" w:sz="8" w:color="431C5B"/>
            </w:tcBorders>
          </w:tcPr>
          <w:p>
            <w:pPr>
              <w:ind w:left="240"/>
              <w:spacing w:after="0"/>
              <w:rPr>
                <w:sz w:val="20"/>
                <w:szCs w:val="20"/>
                <w:color w:val="auto"/>
              </w:rPr>
            </w:pPr>
            <w:r>
              <w:rPr>
                <w:rFonts w:ascii="Arial" w:cs="Arial" w:eastAsia="Arial" w:hAnsi="Arial"/>
                <w:sz w:val="14"/>
                <w:szCs w:val="14"/>
                <w:b w:val="1"/>
                <w:bCs w:val="1"/>
                <w:color w:val="431C5B"/>
              </w:rPr>
              <w:t>Caroline Tsai</w:t>
            </w:r>
          </w:p>
        </w:tc>
      </w:tr>
      <w:tr>
        <w:trPr>
          <w:trHeight w:val="236"/>
        </w:trPr>
        <w:tc>
          <w:tcPr>
            <w:tcW w:w="228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color w:val="auto"/>
              </w:rPr>
              <w:t>Estimated Value</w:t>
            </w:r>
          </w:p>
        </w:tc>
        <w:tc>
          <w:tcPr>
            <w:tcW w:w="2560" w:type="dxa"/>
            <w:vAlign w:val="bottom"/>
            <w:tcBorders>
              <w:bottom w:val="single" w:sz="8" w:color="431C5B"/>
            </w:tcBorders>
            <w:shd w:val="clear" w:color="auto" w:fill="EEFAEC"/>
          </w:tcPr>
          <w:p>
            <w:pPr>
              <w:jc w:val="right"/>
              <w:ind w:right="164"/>
              <w:spacing w:after="0"/>
              <w:rPr>
                <w:sz w:val="20"/>
                <w:szCs w:val="20"/>
                <w:color w:val="auto"/>
              </w:rPr>
            </w:pPr>
            <w:r>
              <w:rPr>
                <w:rFonts w:ascii="Arial" w:cs="Arial" w:eastAsia="Arial" w:hAnsi="Arial"/>
                <w:sz w:val="16"/>
                <w:szCs w:val="16"/>
                <w:color w:val="auto"/>
              </w:rPr>
              <w:t>$45,407,466</w:t>
            </w:r>
          </w:p>
        </w:tc>
        <w:tc>
          <w:tcPr>
            <w:tcW w:w="1300" w:type="dxa"/>
            <w:vAlign w:val="bottom"/>
            <w:tcBorders>
              <w:bottom w:val="single" w:sz="8" w:color="431C5B"/>
            </w:tcBorders>
            <w:shd w:val="clear" w:color="auto" w:fill="EEFAEC"/>
          </w:tcPr>
          <w:p>
            <w:pPr>
              <w:ind w:left="220"/>
              <w:spacing w:after="0"/>
              <w:rPr>
                <w:sz w:val="20"/>
                <w:szCs w:val="20"/>
                <w:color w:val="auto"/>
              </w:rPr>
            </w:pPr>
            <w:r>
              <w:rPr>
                <w:rFonts w:ascii="Arial" w:cs="Arial" w:eastAsia="Arial" w:hAnsi="Arial"/>
                <w:sz w:val="16"/>
                <w:szCs w:val="16"/>
                <w:color w:val="auto"/>
              </w:rPr>
              <w:t>$15,070,536</w:t>
            </w:r>
          </w:p>
        </w:tc>
        <w:tc>
          <w:tcPr>
            <w:tcW w:w="1420" w:type="dxa"/>
            <w:vAlign w:val="bottom"/>
            <w:tcBorders>
              <w:bottom w:val="single" w:sz="8" w:color="431C5B"/>
            </w:tcBorders>
            <w:shd w:val="clear" w:color="auto" w:fill="EEFAEC"/>
          </w:tcPr>
          <w:p>
            <w:pPr>
              <w:jc w:val="right"/>
              <w:ind w:right="184"/>
              <w:spacing w:after="0"/>
              <w:rPr>
                <w:sz w:val="20"/>
                <w:szCs w:val="20"/>
                <w:color w:val="auto"/>
              </w:rPr>
            </w:pPr>
            <w:r>
              <w:rPr>
                <w:rFonts w:ascii="Arial" w:cs="Arial" w:eastAsia="Arial" w:hAnsi="Arial"/>
                <w:sz w:val="16"/>
                <w:szCs w:val="16"/>
                <w:color w:val="auto"/>
              </w:rPr>
              <w:t>$2,590,013</w:t>
            </w:r>
          </w:p>
        </w:tc>
        <w:tc>
          <w:tcPr>
            <w:tcW w:w="1200" w:type="dxa"/>
            <w:vAlign w:val="bottom"/>
            <w:tcBorders>
              <w:bottom w:val="single" w:sz="8" w:color="431C5B"/>
            </w:tcBorders>
            <w:shd w:val="clear" w:color="auto" w:fill="EEFAEC"/>
          </w:tcPr>
          <w:p>
            <w:pPr>
              <w:ind w:left="240"/>
              <w:spacing w:after="0"/>
              <w:rPr>
                <w:sz w:val="20"/>
                <w:szCs w:val="20"/>
                <w:color w:val="auto"/>
              </w:rPr>
            </w:pPr>
            <w:r>
              <w:rPr>
                <w:rFonts w:ascii="Arial" w:cs="Arial" w:eastAsia="Arial" w:hAnsi="Arial"/>
                <w:sz w:val="16"/>
                <w:szCs w:val="16"/>
                <w:color w:val="auto"/>
              </w:rPr>
              <w:t>$10,730,499</w:t>
            </w:r>
          </w:p>
        </w:tc>
      </w:tr>
    </w:tbl>
    <w:p>
      <w:pPr>
        <w:spacing w:after="0" w:line="200" w:lineRule="exact"/>
        <w:rPr>
          <w:sz w:val="20"/>
          <w:szCs w:val="20"/>
          <w:color w:val="auto"/>
        </w:rPr>
      </w:pP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81</w:t>
      </w:r>
    </w:p>
    <w:p>
      <w:pPr>
        <w:sectPr>
          <w:pgSz w:w="11900" w:h="16838" w:orient="portrait"/>
          <w:cols w:equalWidth="0" w:num="1">
            <w:col w:w="9019"/>
          </w:cols>
          <w:pgMar w:left="1440" w:top="657" w:right="1440" w:bottom="1440" w:gutter="0" w:footer="0" w:header="0"/>
          <w:type w:val="continuous"/>
        </w:sectPr>
      </w:pPr>
    </w:p>
    <w:bookmarkStart w:id="84" w:name="page85"/>
    <w:bookmarkEnd w:id="84"/>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Compensation Risk Assessment</w:t>
      </w:r>
    </w:p>
    <w:p>
      <w:pPr>
        <w:spacing w:after="0" w:line="107"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As part of the annual compensation risk assessment, the Company reviewed the various design elements of the Company’s 2025 compensation program to determine whether any of its aspects encourage excessive or inappropriate risk-taking. The scope of this review included aspects of executive compensation, as well as consideration of the items of our compensation policies and practices that affect all employees. Meridian assisted with this assessment. Such evaluation concluded that the Company’s 2025 compensation policies and practices do not create risks that are reasonably likely to have a material adverse effect on the Company.</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CEO Pay Ratio</w:t>
      </w:r>
    </w:p>
    <w:p>
      <w:pPr>
        <w:spacing w:after="0" w:line="107" w:lineRule="exact"/>
        <w:rPr>
          <w:sz w:val="20"/>
          <w:szCs w:val="20"/>
          <w:color w:val="auto"/>
        </w:rPr>
      </w:pPr>
    </w:p>
    <w:p>
      <w:pPr>
        <w:ind w:left="140" w:right="259"/>
        <w:spacing w:after="0" w:line="287" w:lineRule="auto"/>
        <w:rPr>
          <w:sz w:val="20"/>
          <w:szCs w:val="20"/>
          <w:color w:val="auto"/>
        </w:rPr>
      </w:pPr>
      <w:r>
        <w:rPr>
          <w:rFonts w:ascii="Arial" w:cs="Arial" w:eastAsia="Arial" w:hAnsi="Arial"/>
          <w:sz w:val="16"/>
          <w:szCs w:val="16"/>
          <w:color w:val="auto"/>
        </w:rPr>
        <w:t>Our CEO pay ratio was calculated in compliance with the requirements set forth in Item 402(u) of Regulation S-K. We identified the median employee using our employee population as of October 1, 2025. To identify the median employee, we applied our consistently applied compensation measure across the identified populations. Our consistently applied compensation measure is the compensation provided to employees that is considered taxable wages in the country in which the employee is employed, and this definition was applied consistently within each country for the fiscal year 2025.</w:t>
      </w:r>
    </w:p>
    <w:p>
      <w:pPr>
        <w:spacing w:after="0" w:line="115" w:lineRule="exact"/>
        <w:rPr>
          <w:sz w:val="20"/>
          <w:szCs w:val="20"/>
          <w:color w:val="auto"/>
        </w:rPr>
      </w:pPr>
    </w:p>
    <w:p>
      <w:pPr>
        <w:ind w:left="140" w:right="179"/>
        <w:spacing w:after="0" w:line="321" w:lineRule="auto"/>
        <w:rPr>
          <w:sz w:val="20"/>
          <w:szCs w:val="20"/>
          <w:color w:val="auto"/>
        </w:rPr>
      </w:pPr>
      <w:r>
        <w:rPr>
          <w:rFonts w:ascii="Arial" w:cs="Arial" w:eastAsia="Arial" w:hAnsi="Arial"/>
          <w:sz w:val="16"/>
          <w:szCs w:val="16"/>
          <w:color w:val="auto"/>
        </w:rPr>
        <w:t>We then calculated the median employee’s compensation for the fiscal year 2025 in the same manner as the NEOs in the 2025 Summary Compensation Table.</w:t>
      </w:r>
    </w:p>
    <w:p>
      <w:pPr>
        <w:spacing w:after="0" w:line="88" w:lineRule="exact"/>
        <w:rPr>
          <w:sz w:val="20"/>
          <w:szCs w:val="20"/>
          <w:color w:val="auto"/>
        </w:rPr>
      </w:pPr>
    </w:p>
    <w:p>
      <w:pPr>
        <w:jc w:val="both"/>
        <w:ind w:left="140" w:right="299"/>
        <w:spacing w:after="0" w:line="301" w:lineRule="auto"/>
        <w:rPr>
          <w:sz w:val="20"/>
          <w:szCs w:val="20"/>
          <w:color w:val="auto"/>
        </w:rPr>
      </w:pPr>
      <w:r>
        <w:rPr>
          <w:rFonts w:ascii="Arial" w:cs="Arial" w:eastAsia="Arial" w:hAnsi="Arial"/>
          <w:sz w:val="16"/>
          <w:szCs w:val="16"/>
          <w:color w:val="auto"/>
        </w:rPr>
        <w:t>For fiscal year 2025, our median employee compensation was $44,229. The total compensation of Ms. Ferris, our chief executive officer, as reported in the Total column of the 2025 Summary Compensation Table was $22,928,412. The ratio of the annual total compensation of our CEO to that of our median employee is approximately 518:1.</w:t>
      </w:r>
    </w:p>
    <w:p>
      <w:pPr>
        <w:spacing w:after="0" w:line="104" w:lineRule="exact"/>
        <w:rPr>
          <w:sz w:val="20"/>
          <w:szCs w:val="20"/>
          <w:color w:val="auto"/>
        </w:rPr>
      </w:pPr>
    </w:p>
    <w:p>
      <w:pPr>
        <w:ind w:left="140" w:right="219"/>
        <w:spacing w:after="0" w:line="292" w:lineRule="auto"/>
        <w:rPr>
          <w:sz w:val="20"/>
          <w:szCs w:val="20"/>
          <w:color w:val="auto"/>
        </w:rPr>
      </w:pPr>
      <w:r>
        <w:rPr>
          <w:rFonts w:ascii="Arial" w:cs="Arial" w:eastAsia="Arial" w:hAnsi="Arial"/>
          <w:sz w:val="16"/>
          <w:szCs w:val="16"/>
          <w:color w:val="auto"/>
        </w:rPr>
        <w:t>Our CEO pay ratio is influenced by the countries in which we have employees. Of our employee population on the measurement date, a substantial portion of our employees are in locations where wages are significantly lower than other locations in which we operate, including the United States where our executive offices are located.</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Pay Versus Performance</w:t>
      </w:r>
    </w:p>
    <w:p>
      <w:pPr>
        <w:spacing w:after="0" w:line="107" w:lineRule="exact"/>
        <w:rPr>
          <w:sz w:val="20"/>
          <w:szCs w:val="20"/>
          <w:color w:val="auto"/>
        </w:rPr>
      </w:pPr>
    </w:p>
    <w:p>
      <w:pPr>
        <w:ind w:left="140" w:right="139"/>
        <w:spacing w:after="0" w:line="289" w:lineRule="auto"/>
        <w:rPr>
          <w:sz w:val="20"/>
          <w:szCs w:val="20"/>
          <w:color w:val="auto"/>
        </w:rPr>
      </w:pPr>
      <w:r>
        <w:rPr>
          <w:rFonts w:ascii="Arial" w:cs="Arial" w:eastAsia="Arial" w:hAnsi="Arial"/>
          <w:sz w:val="16"/>
          <w:szCs w:val="16"/>
          <w:color w:val="auto"/>
        </w:rPr>
        <w:t>As required by Item 402(v) of Regulation S-K, the following table sets forth information regarding the Company’s performance and the “compensation actually paid” (or CAP) to our NEOs as calculated in accordance with SEC disclosure rules. For information concerning the Company’s compensation philosophy and how the Company aligns executive compensation with its financial and operational performance, refer to the Compensation Discussion and Analysis section.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gridSpan w:val="8"/>
          </w:tcPr>
          <w:p>
            <w:pPr>
              <w:jc w:val="center"/>
              <w:spacing w:after="0"/>
              <w:rPr>
                <w:sz w:val="20"/>
                <w:szCs w:val="20"/>
                <w:color w:val="auto"/>
              </w:rPr>
            </w:pPr>
            <w:r>
              <w:rPr>
                <w:rFonts w:ascii="Arial" w:cs="Arial" w:eastAsia="Arial" w:hAnsi="Arial"/>
                <w:sz w:val="11"/>
                <w:szCs w:val="11"/>
                <w:b w:val="1"/>
                <w:bCs w:val="1"/>
                <w:color w:val="431C5B"/>
                <w:w w:val="97"/>
              </w:rPr>
              <w:t>Value of Initial Fixed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5"/>
          </w:tcPr>
          <w:p>
            <w:pPr>
              <w:jc w:val="center"/>
              <w:ind w:left="581"/>
              <w:spacing w:after="0"/>
              <w:rPr>
                <w:sz w:val="20"/>
                <w:szCs w:val="20"/>
                <w:color w:val="auto"/>
              </w:rPr>
            </w:pPr>
            <w:r>
              <w:rPr>
                <w:rFonts w:ascii="Arial" w:cs="Arial" w:eastAsia="Arial" w:hAnsi="Arial"/>
                <w:sz w:val="11"/>
                <w:szCs w:val="11"/>
                <w:b w:val="1"/>
                <w:bCs w:val="1"/>
                <w:color w:val="431C5B"/>
                <w:w w:val="97"/>
              </w:rPr>
              <w:t>$100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tcBorders>
              <w:bottom w:val="single" w:sz="8" w:color="431C5B"/>
            </w:tcBorders>
            <w:gridSpan w:val="8"/>
          </w:tcPr>
          <w:p>
            <w:pPr>
              <w:jc w:val="center"/>
              <w:spacing w:after="0"/>
              <w:rPr>
                <w:sz w:val="20"/>
                <w:szCs w:val="20"/>
                <w:color w:val="auto"/>
              </w:rPr>
            </w:pPr>
            <w:r>
              <w:rPr>
                <w:rFonts w:ascii="Arial" w:cs="Arial" w:eastAsia="Arial" w:hAnsi="Arial"/>
                <w:sz w:val="11"/>
                <w:szCs w:val="11"/>
                <w:b w:val="1"/>
                <w:bCs w:val="1"/>
                <w:color w:val="431C5B"/>
                <w:w w:val="97"/>
              </w:rPr>
              <w:t>Investment Based on: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b w:val="1"/>
                <w:bCs w:val="1"/>
                <w:color w:val="431C5B"/>
              </w:rPr>
              <w:t>Revenue</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b w:val="1"/>
                <w:bCs w:val="1"/>
                <w:color w:val="431C5B"/>
              </w:rPr>
              <w:t>Metric Used</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431C5B"/>
              </w:rPr>
              <w:t>Average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431C5B"/>
              </w:rPr>
              <w:t>for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431C5B"/>
              </w:rPr>
              <w:t>Summary</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431C5B"/>
              </w:rPr>
              <w:t>Average</w:t>
            </w:r>
          </w:p>
        </w:tc>
        <w:tc>
          <w:tcPr>
            <w:tcW w:w="880" w:type="dxa"/>
            <w:vAlign w:val="bottom"/>
            <w:gridSpan w:val="4"/>
          </w:tcPr>
          <w:p>
            <w:pPr>
              <w:jc w:val="right"/>
              <w:spacing w:after="0" w:line="122" w:lineRule="exact"/>
              <w:rPr>
                <w:sz w:val="20"/>
                <w:szCs w:val="20"/>
                <w:color w:val="auto"/>
              </w:rPr>
            </w:pPr>
            <w:r>
              <w:rPr>
                <w:rFonts w:ascii="Arial" w:cs="Arial" w:eastAsia="Arial" w:hAnsi="Arial"/>
                <w:sz w:val="11"/>
                <w:szCs w:val="11"/>
                <w:b w:val="1"/>
                <w:bCs w:val="1"/>
                <w:color w:val="431C5B"/>
              </w:rPr>
              <w:t>Compensation</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b w:val="1"/>
                <w:bCs w:val="1"/>
                <w:color w:val="431C5B"/>
              </w:rPr>
              <w:t>Annual</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4"/>
              <w:spacing w:after="0"/>
              <w:rPr>
                <w:sz w:val="20"/>
                <w:szCs w:val="20"/>
                <w:color w:val="auto"/>
              </w:rPr>
            </w:pPr>
            <w:r>
              <w:rPr>
                <w:rFonts w:ascii="Arial" w:cs="Arial" w:eastAsia="Arial" w:hAnsi="Arial"/>
                <w:sz w:val="11"/>
                <w:szCs w:val="11"/>
                <w:b w:val="1"/>
                <w:bCs w:val="1"/>
                <w:color w:val="431C5B"/>
              </w:rPr>
              <w:t>Summary</w:t>
            </w:r>
          </w:p>
        </w:tc>
        <w:tc>
          <w:tcPr>
            <w:tcW w:w="820" w:type="dxa"/>
            <w:vAlign w:val="bottom"/>
            <w:gridSpan w:val="3"/>
          </w:tcPr>
          <w:p>
            <w:pPr>
              <w:jc w:val="right"/>
              <w:spacing w:after="0"/>
              <w:rPr>
                <w:sz w:val="20"/>
                <w:szCs w:val="20"/>
                <w:color w:val="auto"/>
              </w:rPr>
            </w:pPr>
            <w:r>
              <w:rPr>
                <w:rFonts w:ascii="Arial" w:cs="Arial" w:eastAsia="Arial" w:hAnsi="Arial"/>
                <w:sz w:val="11"/>
                <w:szCs w:val="11"/>
                <w:b w:val="1"/>
                <w:bCs w:val="1"/>
                <w:color w:val="431C5B"/>
              </w:rPr>
              <w:t>Compensation</w:t>
            </w:r>
          </w:p>
        </w:tc>
        <w:tc>
          <w:tcPr>
            <w:tcW w:w="880" w:type="dxa"/>
            <w:vAlign w:val="bottom"/>
            <w:gridSpan w:val="2"/>
          </w:tcPr>
          <w:p>
            <w:pPr>
              <w:jc w:val="right"/>
              <w:ind w:right="15"/>
              <w:spacing w:after="0"/>
              <w:rPr>
                <w:sz w:val="20"/>
                <w:szCs w:val="20"/>
                <w:color w:val="auto"/>
              </w:rPr>
            </w:pPr>
            <w:r>
              <w:rPr>
                <w:rFonts w:ascii="Arial" w:cs="Arial" w:eastAsia="Arial" w:hAnsi="Arial"/>
                <w:sz w:val="11"/>
                <w:szCs w:val="11"/>
                <w:b w:val="1"/>
                <w:bCs w:val="1"/>
                <w:color w:val="431C5B"/>
              </w:rPr>
              <w:t>Compensation</w:t>
            </w:r>
          </w:p>
        </w:tc>
        <w:tc>
          <w:tcPr>
            <w:tcW w:w="820" w:type="dxa"/>
            <w:vAlign w:val="bottom"/>
            <w:gridSpan w:val="3"/>
          </w:tcPr>
          <w:p>
            <w:pPr>
              <w:jc w:val="right"/>
              <w:spacing w:after="0"/>
              <w:rPr>
                <w:sz w:val="20"/>
                <w:szCs w:val="20"/>
                <w:color w:val="auto"/>
              </w:rPr>
            </w:pPr>
            <w:r>
              <w:rPr>
                <w:rFonts w:ascii="Arial" w:cs="Arial" w:eastAsia="Arial" w:hAnsi="Arial"/>
                <w:sz w:val="11"/>
                <w:szCs w:val="11"/>
                <w:b w:val="1"/>
                <w:bCs w:val="1"/>
                <w:color w:val="431C5B"/>
              </w:rPr>
              <w:t>Compensation</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431C5B"/>
              </w:rPr>
              <w:t>Summary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431C5B"/>
              </w:rPr>
              <w:t>Actually</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right"/>
              <w:spacing w:after="0"/>
              <w:rPr>
                <w:sz w:val="20"/>
                <w:szCs w:val="20"/>
                <w:color w:val="auto"/>
              </w:rPr>
            </w:pPr>
            <w:r>
              <w:rPr>
                <w:rFonts w:ascii="Arial" w:cs="Arial" w:eastAsia="Arial" w:hAnsi="Arial"/>
                <w:sz w:val="11"/>
                <w:szCs w:val="11"/>
                <w:b w:val="1"/>
                <w:bCs w:val="1"/>
                <w:color w:val="431C5B"/>
                <w:w w:val="96"/>
              </w:rPr>
              <w:t>Peer Group</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b w:val="1"/>
                <w:bCs w:val="1"/>
                <w:color w:val="431C5B"/>
              </w:rPr>
              <w:t>Incentive</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4"/>
              <w:spacing w:after="0" w:line="122" w:lineRule="exact"/>
              <w:rPr>
                <w:sz w:val="20"/>
                <w:szCs w:val="20"/>
                <w:color w:val="auto"/>
              </w:rPr>
            </w:pPr>
            <w:r>
              <w:rPr>
                <w:rFonts w:ascii="Arial" w:cs="Arial" w:eastAsia="Arial" w:hAnsi="Arial"/>
                <w:sz w:val="11"/>
                <w:szCs w:val="11"/>
                <w:b w:val="1"/>
                <w:bCs w:val="1"/>
                <w:color w:val="431C5B"/>
              </w:rPr>
              <w:t>Compensation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431C5B"/>
              </w:rPr>
              <w:t>Table Total</w:t>
            </w:r>
          </w:p>
        </w:tc>
        <w:tc>
          <w:tcPr>
            <w:tcW w:w="880" w:type="dxa"/>
            <w:vAlign w:val="bottom"/>
            <w:gridSpan w:val="2"/>
          </w:tcPr>
          <w:p>
            <w:pPr>
              <w:jc w:val="right"/>
              <w:ind w:right="15"/>
              <w:spacing w:after="0" w:line="122" w:lineRule="exact"/>
              <w:rPr>
                <w:sz w:val="20"/>
                <w:szCs w:val="20"/>
                <w:color w:val="auto"/>
              </w:rPr>
            </w:pPr>
            <w:r>
              <w:rPr>
                <w:rFonts w:ascii="Arial" w:cs="Arial" w:eastAsia="Arial" w:hAnsi="Arial"/>
                <w:sz w:val="11"/>
                <w:szCs w:val="11"/>
                <w:b w:val="1"/>
                <w:bCs w:val="1"/>
                <w:color w:val="431C5B"/>
              </w:rPr>
              <w:t>Actually Paid</w:t>
            </w:r>
          </w:p>
        </w:tc>
        <w:tc>
          <w:tcPr>
            <w:tcW w:w="10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431C5B"/>
                <w:w w:val="98"/>
              </w:rPr>
              <w:t>Actually Paid</w:t>
            </w: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b w:val="1"/>
                <w:bCs w:val="1"/>
                <w:color w:val="431C5B"/>
              </w:rPr>
              <w:t>Compensation</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b w:val="1"/>
                <w:bCs w:val="1"/>
                <w:color w:val="431C5B"/>
              </w:rPr>
              <w:t>Paid to</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431C5B"/>
              </w:rPr>
              <w:t>Total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431C5B"/>
              </w:rPr>
              <w:t>Total</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431C5B"/>
              </w:rPr>
              <w:t>Program</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24"/>
              <w:spacing w:after="0"/>
              <w:rPr>
                <w:sz w:val="20"/>
                <w:szCs w:val="20"/>
                <w:color w:val="auto"/>
              </w:rPr>
            </w:pPr>
            <w:r>
              <w:rPr>
                <w:rFonts w:ascii="Arial" w:cs="Arial" w:eastAsia="Arial" w:hAnsi="Arial"/>
                <w:sz w:val="11"/>
                <w:szCs w:val="11"/>
                <w:b w:val="1"/>
                <w:bCs w:val="1"/>
                <w:color w:val="431C5B"/>
              </w:rPr>
              <w:t>Table Total for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431C5B"/>
              </w:rPr>
              <w:t>for</w:t>
            </w:r>
          </w:p>
        </w:tc>
        <w:tc>
          <w:tcPr>
            <w:tcW w:w="660" w:type="dxa"/>
            <w:vAlign w:val="bottom"/>
          </w:tcPr>
          <w:p>
            <w:pPr>
              <w:spacing w:after="0"/>
              <w:rPr>
                <w:sz w:val="11"/>
                <w:szCs w:val="11"/>
                <w:color w:val="auto"/>
              </w:rPr>
            </w:pPr>
          </w:p>
        </w:tc>
        <w:tc>
          <w:tcPr>
            <w:tcW w:w="220" w:type="dxa"/>
            <w:vAlign w:val="bottom"/>
          </w:tcPr>
          <w:p>
            <w:pPr>
              <w:jc w:val="right"/>
              <w:ind w:right="15"/>
              <w:spacing w:after="0"/>
              <w:rPr>
                <w:sz w:val="20"/>
                <w:szCs w:val="20"/>
                <w:color w:val="auto"/>
              </w:rPr>
            </w:pPr>
            <w:r>
              <w:rPr>
                <w:rFonts w:ascii="Arial" w:cs="Arial" w:eastAsia="Arial" w:hAnsi="Arial"/>
                <w:sz w:val="11"/>
                <w:szCs w:val="11"/>
                <w:b w:val="1"/>
                <w:bCs w:val="1"/>
                <w:color w:val="431C5B"/>
              </w:rPr>
              <w:t>to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431C5B"/>
              </w:rPr>
              <w:t>to</w:t>
            </w:r>
          </w:p>
        </w:tc>
        <w:tc>
          <w:tcPr>
            <w:tcW w:w="900" w:type="dxa"/>
            <w:vAlign w:val="bottom"/>
            <w:gridSpan w:val="4"/>
          </w:tcPr>
          <w:p>
            <w:pPr>
              <w:jc w:val="right"/>
              <w:spacing w:after="0"/>
              <w:rPr>
                <w:sz w:val="20"/>
                <w:szCs w:val="20"/>
                <w:color w:val="auto"/>
              </w:rPr>
            </w:pPr>
            <w:r>
              <w:rPr>
                <w:rFonts w:ascii="Arial" w:cs="Arial" w:eastAsia="Arial" w:hAnsi="Arial"/>
                <w:sz w:val="11"/>
                <w:szCs w:val="11"/>
                <w:b w:val="1"/>
                <w:bCs w:val="1"/>
                <w:color w:val="431C5B"/>
              </w:rPr>
              <w:t>Table Total for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gridSpan w:val="9"/>
          </w:tcPr>
          <w:p>
            <w:pPr>
              <w:jc w:val="right"/>
              <w:spacing w:after="0"/>
              <w:rPr>
                <w:sz w:val="20"/>
                <w:szCs w:val="20"/>
                <w:color w:val="auto"/>
              </w:rPr>
            </w:pPr>
            <w:r>
              <w:rPr>
                <w:rFonts w:ascii="Arial" w:cs="Arial" w:eastAsia="Arial" w:hAnsi="Arial"/>
                <w:sz w:val="11"/>
                <w:szCs w:val="11"/>
                <w:b w:val="1"/>
                <w:bCs w:val="1"/>
                <w:color w:val="431C5B"/>
              </w:rPr>
              <w:t>Non-PEO  Shareholder  Shareholder</w:t>
            </w:r>
          </w:p>
        </w:tc>
        <w:tc>
          <w:tcPr>
            <w:tcW w:w="880" w:type="dxa"/>
            <w:vAlign w:val="bottom"/>
            <w:gridSpan w:val="4"/>
          </w:tcPr>
          <w:p>
            <w:pPr>
              <w:jc w:val="right"/>
              <w:ind w:right="63"/>
              <w:spacing w:after="0"/>
              <w:rPr>
                <w:sz w:val="20"/>
                <w:szCs w:val="20"/>
                <w:color w:val="auto"/>
              </w:rPr>
            </w:pPr>
            <w:r>
              <w:rPr>
                <w:rFonts w:ascii="Arial" w:cs="Arial" w:eastAsia="Arial" w:hAnsi="Arial"/>
                <w:sz w:val="11"/>
                <w:szCs w:val="11"/>
                <w:b w:val="1"/>
                <w:bCs w:val="1"/>
                <w:color w:val="431C5B"/>
              </w:rPr>
              <w:t>Net Income</w:t>
            </w:r>
          </w:p>
        </w:tc>
        <w:tc>
          <w:tcPr>
            <w:tcW w:w="700" w:type="dxa"/>
            <w:vAlign w:val="bottom"/>
            <w:gridSpan w:val="3"/>
          </w:tcPr>
          <w:p>
            <w:pPr>
              <w:jc w:val="right"/>
              <w:spacing w:after="0"/>
              <w:rPr>
                <w:sz w:val="20"/>
                <w:szCs w:val="20"/>
                <w:color w:val="auto"/>
              </w:rPr>
            </w:pPr>
            <w:r>
              <w:rPr>
                <w:rFonts w:ascii="Arial" w:cs="Arial" w:eastAsia="Arial" w:hAnsi="Arial"/>
                <w:sz w:val="11"/>
                <w:szCs w:val="11"/>
                <w:b w:val="1"/>
                <w:bCs w:val="1"/>
                <w:color w:val="431C5B"/>
              </w:rPr>
              <w:t>(in millions)</w:t>
            </w:r>
          </w:p>
        </w:tc>
        <w:tc>
          <w:tcPr>
            <w:tcW w:w="0" w:type="dxa"/>
            <w:vAlign w:val="bottom"/>
          </w:tcPr>
          <w:p>
            <w:pPr>
              <w:spacing w:after="0"/>
              <w:rPr>
                <w:sz w:val="1"/>
                <w:szCs w:val="1"/>
                <w:color w:val="auto"/>
              </w:rPr>
            </w:pPr>
          </w:p>
        </w:tc>
      </w:tr>
      <w:tr>
        <w:trPr>
          <w:trHeight w:val="135"/>
        </w:trPr>
        <w:tc>
          <w:tcPr>
            <w:tcW w:w="4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431C5B"/>
              </w:rPr>
              <w:t>Year</w:t>
            </w:r>
          </w:p>
        </w:tc>
        <w:tc>
          <w:tcPr>
            <w:tcW w:w="900" w:type="dxa"/>
            <w:vAlign w:val="bottom"/>
          </w:tcPr>
          <w:p>
            <w:pPr>
              <w:jc w:val="right"/>
              <w:ind w:right="4"/>
              <w:spacing w:after="0"/>
              <w:rPr>
                <w:sz w:val="20"/>
                <w:szCs w:val="20"/>
                <w:color w:val="auto"/>
              </w:rPr>
            </w:pPr>
            <w:r>
              <w:rPr>
                <w:rFonts w:ascii="Arial" w:cs="Arial" w:eastAsia="Arial" w:hAnsi="Arial"/>
                <w:sz w:val="11"/>
                <w:szCs w:val="11"/>
                <w:b w:val="1"/>
                <w:bCs w:val="1"/>
                <w:color w:val="431C5B"/>
              </w:rPr>
              <w:t>PEO#1(b)(1)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431C5B"/>
                <w:w w:val="98"/>
              </w:rPr>
              <w:t>PEO#2(b)(2)</w:t>
            </w:r>
          </w:p>
        </w:tc>
        <w:tc>
          <w:tcPr>
            <w:tcW w:w="880" w:type="dxa"/>
            <w:vAlign w:val="bottom"/>
            <w:gridSpan w:val="2"/>
          </w:tcPr>
          <w:p>
            <w:pPr>
              <w:jc w:val="right"/>
              <w:ind w:right="15"/>
              <w:spacing w:after="0"/>
              <w:rPr>
                <w:sz w:val="20"/>
                <w:szCs w:val="20"/>
                <w:color w:val="auto"/>
              </w:rPr>
            </w:pPr>
            <w:r>
              <w:rPr>
                <w:rFonts w:ascii="Arial" w:cs="Arial" w:eastAsia="Arial" w:hAnsi="Arial"/>
                <w:sz w:val="11"/>
                <w:szCs w:val="11"/>
                <w:b w:val="1"/>
                <w:bCs w:val="1"/>
                <w:color w:val="431C5B"/>
              </w:rPr>
              <w:t>PEO#1(c)(1)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431C5B"/>
                <w:w w:val="99"/>
              </w:rPr>
              <w:t>PEO#2(c)(2)</w:t>
            </w:r>
          </w:p>
        </w:tc>
        <w:tc>
          <w:tcPr>
            <w:tcW w:w="900" w:type="dxa"/>
            <w:vAlign w:val="bottom"/>
            <w:gridSpan w:val="4"/>
          </w:tcPr>
          <w:p>
            <w:pPr>
              <w:jc w:val="right"/>
              <w:spacing w:after="0"/>
              <w:rPr>
                <w:sz w:val="20"/>
                <w:szCs w:val="20"/>
                <w:color w:val="auto"/>
              </w:rPr>
            </w:pPr>
            <w:r>
              <w:rPr>
                <w:rFonts w:ascii="Arial" w:cs="Arial" w:eastAsia="Arial" w:hAnsi="Arial"/>
                <w:sz w:val="11"/>
                <w:szCs w:val="11"/>
                <w:b w:val="1"/>
                <w:bCs w:val="1"/>
                <w:color w:val="431C5B"/>
              </w:rPr>
              <w:t>Non-PEO NEOs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431C5B"/>
              </w:rPr>
              <w:t>NEOs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431C5B"/>
              </w:rPr>
              <w:t>Return</w:t>
            </w:r>
          </w:p>
        </w:tc>
        <w:tc>
          <w:tcPr>
            <w:tcW w:w="640" w:type="dxa"/>
            <w:vAlign w:val="bottom"/>
            <w:gridSpan w:val="3"/>
          </w:tcPr>
          <w:p>
            <w:pPr>
              <w:jc w:val="right"/>
              <w:spacing w:after="0"/>
              <w:rPr>
                <w:sz w:val="20"/>
                <w:szCs w:val="20"/>
                <w:color w:val="auto"/>
              </w:rPr>
            </w:pPr>
            <w:r>
              <w:rPr>
                <w:rFonts w:ascii="Arial" w:cs="Arial" w:eastAsia="Arial" w:hAnsi="Arial"/>
                <w:sz w:val="11"/>
                <w:szCs w:val="11"/>
                <w:b w:val="1"/>
                <w:bCs w:val="1"/>
                <w:color w:val="431C5B"/>
              </w:rPr>
              <w:t>Return(g)</w:t>
            </w:r>
          </w:p>
        </w:tc>
        <w:tc>
          <w:tcPr>
            <w:tcW w:w="880" w:type="dxa"/>
            <w:vAlign w:val="bottom"/>
            <w:gridSpan w:val="4"/>
          </w:tcPr>
          <w:p>
            <w:pPr>
              <w:jc w:val="right"/>
              <w:ind w:right="43"/>
              <w:spacing w:after="0"/>
              <w:rPr>
                <w:sz w:val="20"/>
                <w:szCs w:val="20"/>
                <w:color w:val="auto"/>
              </w:rPr>
            </w:pPr>
            <w:r>
              <w:rPr>
                <w:rFonts w:ascii="Arial" w:cs="Arial" w:eastAsia="Arial" w:hAnsi="Arial"/>
                <w:sz w:val="11"/>
                <w:szCs w:val="11"/>
                <w:b w:val="1"/>
                <w:bCs w:val="1"/>
                <w:color w:val="431C5B"/>
              </w:rPr>
              <w:t>(in millions)(h)</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431C5B"/>
              </w:rPr>
              <w:t>(i)</w:t>
            </w:r>
          </w:p>
        </w:tc>
        <w:tc>
          <w:tcPr>
            <w:tcW w:w="0" w:type="dxa"/>
            <w:vAlign w:val="bottom"/>
          </w:tcPr>
          <w:p>
            <w:pPr>
              <w:spacing w:after="0"/>
              <w:rPr>
                <w:sz w:val="1"/>
                <w:szCs w:val="1"/>
                <w:color w:val="auto"/>
              </w:rPr>
            </w:pPr>
          </w:p>
        </w:tc>
      </w:tr>
      <w:tr>
        <w:trPr>
          <w:trHeight w:val="208"/>
        </w:trPr>
        <w:tc>
          <w:tcPr>
            <w:tcW w:w="460" w:type="dxa"/>
            <w:vAlign w:val="bottom"/>
            <w:tcBorders>
              <w:bottom w:val="single" w:sz="8" w:color="431C5B"/>
            </w:tcBorders>
            <w:gridSpan w:val="3"/>
            <w:vMerge w:val="continue"/>
          </w:tcPr>
          <w:p>
            <w:pPr>
              <w:spacing w:after="0"/>
              <w:rPr>
                <w:sz w:val="18"/>
                <w:szCs w:val="18"/>
                <w:color w:val="auto"/>
              </w:rPr>
            </w:pPr>
          </w:p>
        </w:tc>
        <w:tc>
          <w:tcPr>
            <w:tcW w:w="900" w:type="dxa"/>
            <w:vAlign w:val="bottom"/>
            <w:tcBorders>
              <w:bottom w:val="single" w:sz="8" w:color="431C5B"/>
            </w:tcBorders>
          </w:tcPr>
          <w:p>
            <w:pPr>
              <w:jc w:val="right"/>
              <w:ind w:right="4"/>
              <w:spacing w:after="0"/>
              <w:rPr>
                <w:sz w:val="20"/>
                <w:szCs w:val="20"/>
                <w:color w:val="auto"/>
              </w:rPr>
            </w:pPr>
            <w:r>
              <w:rPr>
                <w:rFonts w:ascii="Arial" w:cs="Arial" w:eastAsia="Arial" w:hAnsi="Arial"/>
                <w:sz w:val="7"/>
                <w:szCs w:val="7"/>
                <w:b w:val="1"/>
                <w:bCs w:val="1"/>
                <w:color w:val="431C5B"/>
              </w:rPr>
              <w:t>(1)</w:t>
            </w:r>
          </w:p>
        </w:tc>
        <w:tc>
          <w:tcPr>
            <w:tcW w:w="820" w:type="dxa"/>
            <w:vAlign w:val="bottom"/>
            <w:tcBorders>
              <w:bottom w:val="single" w:sz="8" w:color="431C5B"/>
            </w:tcBorders>
            <w:gridSpan w:val="3"/>
          </w:tcPr>
          <w:p>
            <w:pPr>
              <w:jc w:val="right"/>
              <w:spacing w:after="0"/>
              <w:rPr>
                <w:sz w:val="20"/>
                <w:szCs w:val="20"/>
                <w:color w:val="auto"/>
              </w:rPr>
            </w:pPr>
            <w:r>
              <w:rPr>
                <w:rFonts w:ascii="Arial" w:cs="Arial" w:eastAsia="Arial" w:hAnsi="Arial"/>
                <w:sz w:val="7"/>
                <w:szCs w:val="7"/>
                <w:b w:val="1"/>
                <w:bCs w:val="1"/>
                <w:color w:val="431C5B"/>
              </w:rPr>
              <w:t>(2)</w:t>
            </w:r>
          </w:p>
        </w:tc>
        <w:tc>
          <w:tcPr>
            <w:tcW w:w="880" w:type="dxa"/>
            <w:vAlign w:val="bottom"/>
            <w:tcBorders>
              <w:bottom w:val="single" w:sz="8" w:color="431C5B"/>
            </w:tcBorders>
            <w:gridSpan w:val="2"/>
          </w:tcPr>
          <w:p>
            <w:pPr>
              <w:jc w:val="right"/>
              <w:ind w:right="15"/>
              <w:spacing w:after="0"/>
              <w:rPr>
                <w:sz w:val="20"/>
                <w:szCs w:val="20"/>
                <w:color w:val="auto"/>
              </w:rPr>
            </w:pPr>
            <w:r>
              <w:rPr>
                <w:rFonts w:ascii="Arial" w:cs="Arial" w:eastAsia="Arial" w:hAnsi="Arial"/>
                <w:sz w:val="7"/>
                <w:szCs w:val="7"/>
                <w:b w:val="1"/>
                <w:bCs w:val="1"/>
                <w:color w:val="431C5B"/>
              </w:rPr>
              <w:t>(3)</w:t>
            </w:r>
          </w:p>
        </w:tc>
        <w:tc>
          <w:tcPr>
            <w:tcW w:w="100" w:type="dxa"/>
            <w:vAlign w:val="bottom"/>
            <w:tcBorders>
              <w:bottom w:val="single" w:sz="8" w:color="431C5B"/>
            </w:tcBorders>
          </w:tcPr>
          <w:p>
            <w:pPr>
              <w:spacing w:after="0"/>
              <w:rPr>
                <w:sz w:val="18"/>
                <w:szCs w:val="18"/>
                <w:color w:val="auto"/>
              </w:rPr>
            </w:pPr>
          </w:p>
        </w:tc>
        <w:tc>
          <w:tcPr>
            <w:tcW w:w="60" w:type="dxa"/>
            <w:vAlign w:val="bottom"/>
            <w:tcBorders>
              <w:bottom w:val="single" w:sz="8" w:color="431C5B"/>
            </w:tcBorders>
          </w:tcPr>
          <w:p>
            <w:pPr>
              <w:spacing w:after="0"/>
              <w:rPr>
                <w:sz w:val="18"/>
                <w:szCs w:val="18"/>
                <w:color w:val="auto"/>
              </w:rPr>
            </w:pPr>
          </w:p>
        </w:tc>
        <w:tc>
          <w:tcPr>
            <w:tcW w:w="660" w:type="dxa"/>
            <w:vAlign w:val="bottom"/>
            <w:tcBorders>
              <w:bottom w:val="single" w:sz="8" w:color="431C5B"/>
            </w:tcBorders>
          </w:tcPr>
          <w:p>
            <w:pPr>
              <w:jc w:val="right"/>
              <w:spacing w:after="0"/>
              <w:rPr>
                <w:sz w:val="20"/>
                <w:szCs w:val="20"/>
                <w:color w:val="auto"/>
              </w:rPr>
            </w:pPr>
            <w:r>
              <w:rPr>
                <w:rFonts w:ascii="Arial" w:cs="Arial" w:eastAsia="Arial" w:hAnsi="Arial"/>
                <w:sz w:val="7"/>
                <w:szCs w:val="7"/>
                <w:b w:val="1"/>
                <w:bCs w:val="1"/>
                <w:color w:val="431C5B"/>
              </w:rPr>
              <w:t>(4)</w:t>
            </w:r>
          </w:p>
        </w:tc>
        <w:tc>
          <w:tcPr>
            <w:tcW w:w="180" w:type="dxa"/>
            <w:vAlign w:val="bottom"/>
            <w:tcBorders>
              <w:bottom w:val="single" w:sz="8" w:color="431C5B"/>
            </w:tcBorders>
          </w:tcPr>
          <w:p>
            <w:pPr>
              <w:spacing w:after="0"/>
              <w:rPr>
                <w:sz w:val="18"/>
                <w:szCs w:val="18"/>
                <w:color w:val="auto"/>
              </w:rPr>
            </w:pPr>
          </w:p>
        </w:tc>
        <w:tc>
          <w:tcPr>
            <w:tcW w:w="60" w:type="dxa"/>
            <w:vAlign w:val="bottom"/>
            <w:tcBorders>
              <w:bottom w:val="single" w:sz="8" w:color="431C5B"/>
            </w:tcBorders>
          </w:tcPr>
          <w:p>
            <w:pPr>
              <w:spacing w:after="0"/>
              <w:rPr>
                <w:sz w:val="18"/>
                <w:szCs w:val="18"/>
                <w:color w:val="auto"/>
              </w:rPr>
            </w:pPr>
          </w:p>
        </w:tc>
        <w:tc>
          <w:tcPr>
            <w:tcW w:w="60" w:type="dxa"/>
            <w:vAlign w:val="bottom"/>
            <w:tcBorders>
              <w:bottom w:val="single" w:sz="8" w:color="431C5B"/>
            </w:tcBorders>
          </w:tcPr>
          <w:p>
            <w:pPr>
              <w:spacing w:after="0"/>
              <w:rPr>
                <w:sz w:val="18"/>
                <w:szCs w:val="18"/>
                <w:color w:val="auto"/>
              </w:rPr>
            </w:pPr>
          </w:p>
        </w:tc>
        <w:tc>
          <w:tcPr>
            <w:tcW w:w="600" w:type="dxa"/>
            <w:vAlign w:val="bottom"/>
            <w:tcBorders>
              <w:bottom w:val="single" w:sz="8" w:color="431C5B"/>
            </w:tcBorders>
          </w:tcPr>
          <w:p>
            <w:pPr>
              <w:jc w:val="right"/>
              <w:spacing w:after="0"/>
              <w:rPr>
                <w:sz w:val="20"/>
                <w:szCs w:val="20"/>
                <w:color w:val="auto"/>
              </w:rPr>
            </w:pPr>
            <w:r>
              <w:rPr>
                <w:rFonts w:ascii="Arial" w:cs="Arial" w:eastAsia="Arial" w:hAnsi="Arial"/>
                <w:sz w:val="11"/>
                <w:szCs w:val="11"/>
                <w:b w:val="1"/>
                <w:bCs w:val="1"/>
                <w:color w:val="431C5B"/>
              </w:rPr>
              <w:t>(d)</w:t>
            </w:r>
          </w:p>
        </w:tc>
        <w:tc>
          <w:tcPr>
            <w:tcW w:w="140" w:type="dxa"/>
            <w:vAlign w:val="bottom"/>
            <w:tcBorders>
              <w:bottom w:val="single" w:sz="8" w:color="431C5B"/>
            </w:tcBorders>
          </w:tcPr>
          <w:p>
            <w:pPr>
              <w:spacing w:after="0"/>
              <w:rPr>
                <w:sz w:val="18"/>
                <w:szCs w:val="18"/>
                <w:color w:val="auto"/>
              </w:rPr>
            </w:pPr>
          </w:p>
        </w:tc>
        <w:tc>
          <w:tcPr>
            <w:tcW w:w="60" w:type="dxa"/>
            <w:vAlign w:val="bottom"/>
            <w:tcBorders>
              <w:bottom w:val="single" w:sz="8" w:color="431C5B"/>
            </w:tcBorders>
          </w:tcPr>
          <w:p>
            <w:pPr>
              <w:spacing w:after="0"/>
              <w:rPr>
                <w:sz w:val="18"/>
                <w:szCs w:val="18"/>
                <w:color w:val="auto"/>
              </w:rPr>
            </w:pPr>
          </w:p>
        </w:tc>
        <w:tc>
          <w:tcPr>
            <w:tcW w:w="60" w:type="dxa"/>
            <w:vAlign w:val="bottom"/>
            <w:tcBorders>
              <w:bottom w:val="single" w:sz="8" w:color="431C5B"/>
            </w:tcBorders>
          </w:tcPr>
          <w:p>
            <w:pPr>
              <w:spacing w:after="0"/>
              <w:rPr>
                <w:sz w:val="18"/>
                <w:szCs w:val="18"/>
                <w:color w:val="auto"/>
              </w:rPr>
            </w:pPr>
          </w:p>
        </w:tc>
        <w:tc>
          <w:tcPr>
            <w:tcW w:w="620" w:type="dxa"/>
            <w:vAlign w:val="bottom"/>
            <w:tcBorders>
              <w:bottom w:val="single" w:sz="8" w:color="431C5B"/>
            </w:tcBorders>
          </w:tcPr>
          <w:p>
            <w:pPr>
              <w:jc w:val="right"/>
              <w:spacing w:after="0"/>
              <w:rPr>
                <w:sz w:val="20"/>
                <w:szCs w:val="20"/>
                <w:color w:val="auto"/>
              </w:rPr>
            </w:pPr>
            <w:r>
              <w:rPr>
                <w:rFonts w:ascii="Arial" w:cs="Arial" w:eastAsia="Arial" w:hAnsi="Arial"/>
                <w:sz w:val="11"/>
                <w:szCs w:val="11"/>
                <w:b w:val="1"/>
                <w:bCs w:val="1"/>
                <w:color w:val="431C5B"/>
              </w:rPr>
              <w:t>(e)</w:t>
            </w:r>
            <w:r>
              <w:rPr>
                <w:rFonts w:ascii="Arial" w:cs="Arial" w:eastAsia="Arial" w:hAnsi="Arial"/>
                <w:sz w:val="7"/>
                <w:szCs w:val="7"/>
                <w:b w:val="1"/>
                <w:bCs w:val="1"/>
                <w:color w:val="431C5B"/>
              </w:rPr>
              <w:t>(10)</w:t>
            </w:r>
          </w:p>
        </w:tc>
        <w:tc>
          <w:tcPr>
            <w:tcW w:w="260" w:type="dxa"/>
            <w:vAlign w:val="bottom"/>
            <w:tcBorders>
              <w:bottom w:val="single" w:sz="8" w:color="431C5B"/>
            </w:tcBorders>
          </w:tcPr>
          <w:p>
            <w:pPr>
              <w:spacing w:after="0"/>
              <w:rPr>
                <w:sz w:val="18"/>
                <w:szCs w:val="18"/>
                <w:color w:val="auto"/>
              </w:rPr>
            </w:pPr>
          </w:p>
        </w:tc>
        <w:tc>
          <w:tcPr>
            <w:tcW w:w="80" w:type="dxa"/>
            <w:vAlign w:val="bottom"/>
            <w:tcBorders>
              <w:bottom w:val="single" w:sz="8" w:color="431C5B"/>
            </w:tcBorders>
          </w:tcPr>
          <w:p>
            <w:pPr>
              <w:spacing w:after="0"/>
              <w:rPr>
                <w:sz w:val="18"/>
                <w:szCs w:val="18"/>
                <w:color w:val="auto"/>
              </w:rPr>
            </w:pPr>
          </w:p>
        </w:tc>
        <w:tc>
          <w:tcPr>
            <w:tcW w:w="60" w:type="dxa"/>
            <w:vAlign w:val="bottom"/>
            <w:tcBorders>
              <w:bottom w:val="single" w:sz="8" w:color="431C5B"/>
            </w:tcBorders>
          </w:tcPr>
          <w:p>
            <w:pPr>
              <w:spacing w:after="0"/>
              <w:rPr>
                <w:sz w:val="18"/>
                <w:szCs w:val="18"/>
                <w:color w:val="auto"/>
              </w:rPr>
            </w:pPr>
          </w:p>
        </w:tc>
        <w:tc>
          <w:tcPr>
            <w:tcW w:w="480" w:type="dxa"/>
            <w:vAlign w:val="bottom"/>
            <w:tcBorders>
              <w:bottom w:val="single" w:sz="8" w:color="431C5B"/>
            </w:tcBorders>
            <w:gridSpan w:val="2"/>
          </w:tcPr>
          <w:p>
            <w:pPr>
              <w:jc w:val="right"/>
              <w:ind w:right="160"/>
              <w:spacing w:after="0"/>
              <w:rPr>
                <w:sz w:val="20"/>
                <w:szCs w:val="20"/>
                <w:color w:val="auto"/>
              </w:rPr>
            </w:pPr>
            <w:r>
              <w:rPr>
                <w:rFonts w:ascii="Arial" w:cs="Arial" w:eastAsia="Arial" w:hAnsi="Arial"/>
                <w:sz w:val="11"/>
                <w:szCs w:val="11"/>
                <w:b w:val="1"/>
                <w:bCs w:val="1"/>
                <w:color w:val="431C5B"/>
              </w:rPr>
              <w:t>(f)</w:t>
            </w:r>
            <w:r>
              <w:rPr>
                <w:rFonts w:ascii="Arial" w:cs="Arial" w:eastAsia="Arial" w:hAnsi="Arial"/>
                <w:sz w:val="7"/>
                <w:szCs w:val="7"/>
                <w:b w:val="1"/>
                <w:bCs w:val="1"/>
                <w:color w:val="431C5B"/>
              </w:rPr>
              <w:t>(11)</w:t>
            </w:r>
          </w:p>
        </w:tc>
        <w:tc>
          <w:tcPr>
            <w:tcW w:w="140" w:type="dxa"/>
            <w:vAlign w:val="bottom"/>
            <w:tcBorders>
              <w:bottom w:val="single" w:sz="8" w:color="431C5B"/>
            </w:tcBorders>
          </w:tcPr>
          <w:p>
            <w:pPr>
              <w:spacing w:after="0"/>
              <w:rPr>
                <w:sz w:val="18"/>
                <w:szCs w:val="18"/>
                <w:color w:val="auto"/>
              </w:rPr>
            </w:pPr>
          </w:p>
        </w:tc>
        <w:tc>
          <w:tcPr>
            <w:tcW w:w="60" w:type="dxa"/>
            <w:vAlign w:val="bottom"/>
            <w:tcBorders>
              <w:bottom w:val="single" w:sz="8" w:color="431C5B"/>
            </w:tcBorders>
          </w:tcPr>
          <w:p>
            <w:pPr>
              <w:spacing w:after="0"/>
              <w:rPr>
                <w:sz w:val="18"/>
                <w:szCs w:val="18"/>
                <w:color w:val="auto"/>
              </w:rPr>
            </w:pPr>
          </w:p>
        </w:tc>
        <w:tc>
          <w:tcPr>
            <w:tcW w:w="440" w:type="dxa"/>
            <w:vAlign w:val="bottom"/>
            <w:tcBorders>
              <w:bottom w:val="single" w:sz="8" w:color="431C5B"/>
            </w:tcBorders>
          </w:tcPr>
          <w:p>
            <w:pPr>
              <w:jc w:val="right"/>
              <w:spacing w:after="0"/>
              <w:rPr>
                <w:sz w:val="20"/>
                <w:szCs w:val="20"/>
                <w:color w:val="auto"/>
              </w:rPr>
            </w:pPr>
            <w:r>
              <w:rPr>
                <w:rFonts w:ascii="Arial" w:cs="Arial" w:eastAsia="Arial" w:hAnsi="Arial"/>
                <w:sz w:val="7"/>
                <w:szCs w:val="7"/>
                <w:b w:val="1"/>
                <w:bCs w:val="1"/>
                <w:color w:val="431C5B"/>
              </w:rPr>
              <w:t>(12)</w:t>
            </w:r>
          </w:p>
        </w:tc>
        <w:tc>
          <w:tcPr>
            <w:tcW w:w="260" w:type="dxa"/>
            <w:vAlign w:val="bottom"/>
            <w:tcBorders>
              <w:bottom w:val="single" w:sz="8" w:color="431C5B"/>
            </w:tcBorders>
          </w:tcPr>
          <w:p>
            <w:pPr>
              <w:spacing w:after="0"/>
              <w:rPr>
                <w:sz w:val="18"/>
                <w:szCs w:val="18"/>
                <w:color w:val="auto"/>
              </w:rPr>
            </w:pPr>
          </w:p>
        </w:tc>
        <w:tc>
          <w:tcPr>
            <w:tcW w:w="80" w:type="dxa"/>
            <w:vAlign w:val="bottom"/>
            <w:tcBorders>
              <w:bottom w:val="single" w:sz="8" w:color="431C5B"/>
            </w:tcBorders>
          </w:tcPr>
          <w:p>
            <w:pPr>
              <w:spacing w:after="0"/>
              <w:rPr>
                <w:sz w:val="18"/>
                <w:szCs w:val="18"/>
                <w:color w:val="auto"/>
              </w:rPr>
            </w:pPr>
          </w:p>
        </w:tc>
        <w:tc>
          <w:tcPr>
            <w:tcW w:w="540" w:type="dxa"/>
            <w:vAlign w:val="bottom"/>
            <w:tcBorders>
              <w:bottom w:val="single" w:sz="8" w:color="431C5B"/>
            </w:tcBorders>
            <w:gridSpan w:val="2"/>
          </w:tcPr>
          <w:p>
            <w:pPr>
              <w:jc w:val="right"/>
              <w:ind w:right="63"/>
              <w:spacing w:after="0"/>
              <w:rPr>
                <w:sz w:val="20"/>
                <w:szCs w:val="20"/>
                <w:color w:val="auto"/>
              </w:rPr>
            </w:pPr>
            <w:r>
              <w:rPr>
                <w:rFonts w:ascii="Arial" w:cs="Arial" w:eastAsia="Arial" w:hAnsi="Arial"/>
                <w:sz w:val="7"/>
                <w:szCs w:val="7"/>
                <w:b w:val="1"/>
                <w:bCs w:val="1"/>
                <w:color w:val="431C5B"/>
              </w:rPr>
              <w:t>(13)</w:t>
            </w:r>
          </w:p>
        </w:tc>
        <w:tc>
          <w:tcPr>
            <w:tcW w:w="700" w:type="dxa"/>
            <w:vAlign w:val="bottom"/>
            <w:tcBorders>
              <w:bottom w:val="single" w:sz="8" w:color="431C5B"/>
            </w:tcBorders>
            <w:gridSpan w:val="3"/>
          </w:tcPr>
          <w:p>
            <w:pPr>
              <w:jc w:val="right"/>
              <w:spacing w:after="0"/>
              <w:rPr>
                <w:sz w:val="20"/>
                <w:szCs w:val="20"/>
                <w:color w:val="auto"/>
              </w:rPr>
            </w:pPr>
            <w:r>
              <w:rPr>
                <w:rFonts w:ascii="Arial" w:cs="Arial" w:eastAsia="Arial" w:hAnsi="Arial"/>
                <w:sz w:val="7"/>
                <w:szCs w:val="7"/>
                <w:b w:val="1"/>
                <w:bCs w:val="1"/>
                <w:color w:val="431C5B"/>
              </w:rPr>
              <w:t>(14)</w:t>
            </w:r>
          </w:p>
        </w:tc>
        <w:tc>
          <w:tcPr>
            <w:tcW w:w="0" w:type="dxa"/>
            <w:vAlign w:val="bottom"/>
          </w:tcPr>
          <w:p>
            <w:pPr>
              <w:spacing w:after="0"/>
              <w:rPr>
                <w:sz w:val="1"/>
                <w:szCs w:val="1"/>
                <w:color w:val="auto"/>
              </w:rPr>
            </w:pPr>
          </w:p>
        </w:tc>
      </w:tr>
      <w:tr>
        <w:trPr>
          <w:trHeight w:val="134"/>
        </w:trPr>
        <w:tc>
          <w:tcPr>
            <w:tcW w:w="80" w:type="dxa"/>
            <w:vAlign w:val="bottom"/>
            <w:tcBorders>
              <w:top w:val="single" w:sz="8" w:color="EEFAEC"/>
              <w:bottom w:val="single" w:sz="8" w:color="EEFAEC"/>
            </w:tcBorders>
            <w:shd w:val="clear" w:color="auto" w:fill="EEFAEC"/>
          </w:tcPr>
          <w:p>
            <w:pPr>
              <w:spacing w:after="0"/>
              <w:rPr>
                <w:sz w:val="11"/>
                <w:szCs w:val="11"/>
                <w:color w:val="auto"/>
              </w:rPr>
            </w:pPr>
          </w:p>
        </w:tc>
        <w:tc>
          <w:tcPr>
            <w:tcW w:w="260" w:type="dxa"/>
            <w:vAlign w:val="bottom"/>
            <w:tcBorders>
              <w:top w:val="single" w:sz="8" w:color="EDFAEC"/>
              <w:bottom w:val="single" w:sz="8" w:color="EDFAEC"/>
            </w:tcBorders>
            <w:shd w:val="clear" w:color="auto" w:fill="EDFAEC"/>
          </w:tcPr>
          <w:p>
            <w:pPr>
              <w:spacing w:after="0" w:line="68" w:lineRule="exact"/>
              <w:rPr>
                <w:sz w:val="20"/>
                <w:szCs w:val="20"/>
                <w:color w:val="auto"/>
              </w:rPr>
            </w:pPr>
            <w:r>
              <w:rPr>
                <w:rFonts w:ascii="Arial" w:cs="Arial" w:eastAsia="Arial" w:hAnsi="Arial"/>
                <w:sz w:val="7"/>
                <w:szCs w:val="7"/>
                <w:color w:val="auto"/>
                <w:shd w:val="clear" w:color="auto" w:fill="EDFAEC"/>
              </w:rPr>
              <w:t>2025</w:t>
            </w:r>
          </w:p>
        </w:tc>
        <w:tc>
          <w:tcPr>
            <w:tcW w:w="120" w:type="dxa"/>
            <w:vAlign w:val="bottom"/>
            <w:tcBorders>
              <w:top w:val="single" w:sz="8" w:color="EDFAEC"/>
              <w:bottom w:val="single" w:sz="8" w:color="EEFAEC"/>
            </w:tcBorders>
            <w:shd w:val="clear" w:color="auto" w:fill="EDFAEC"/>
          </w:tcPr>
          <w:p>
            <w:pPr>
              <w:jc w:val="right"/>
              <w:spacing w:after="0" w:line="62" w:lineRule="exact"/>
              <w:rPr>
                <w:sz w:val="20"/>
                <w:szCs w:val="20"/>
                <w:color w:val="auto"/>
              </w:rPr>
            </w:pPr>
            <w:r>
              <w:rPr>
                <w:rFonts w:ascii="Arial" w:cs="Arial" w:eastAsia="Arial" w:hAnsi="Arial"/>
                <w:sz w:val="7"/>
                <w:szCs w:val="7"/>
                <w:color w:val="auto"/>
                <w:shd w:val="clear" w:color="auto" w:fill="EDFAEC"/>
              </w:rPr>
              <w:t>(5)</w:t>
            </w:r>
          </w:p>
        </w:tc>
        <w:tc>
          <w:tcPr>
            <w:tcW w:w="900" w:type="dxa"/>
            <w:vAlign w:val="bottom"/>
            <w:tcBorders>
              <w:top w:val="single" w:sz="8" w:color="EEFAEC"/>
              <w:bottom w:val="single" w:sz="8" w:color="EEFAEC"/>
            </w:tcBorders>
            <w:shd w:val="clear" w:color="auto" w:fill="EEFAEC"/>
          </w:tcPr>
          <w:p>
            <w:pPr>
              <w:spacing w:after="0"/>
              <w:rPr>
                <w:sz w:val="11"/>
                <w:szCs w:val="11"/>
                <w:color w:val="auto"/>
              </w:rPr>
            </w:pPr>
          </w:p>
        </w:tc>
        <w:tc>
          <w:tcPr>
            <w:tcW w:w="100" w:type="dxa"/>
            <w:vAlign w:val="bottom"/>
            <w:tcBorders>
              <w:top w:val="single" w:sz="8" w:color="EEFAEC"/>
              <w:bottom w:val="single" w:sz="8" w:color="EEFAEC"/>
            </w:tcBorders>
            <w:shd w:val="clear" w:color="auto" w:fill="EEFAEC"/>
          </w:tcPr>
          <w:p>
            <w:pPr>
              <w:spacing w:after="0"/>
              <w:rPr>
                <w:sz w:val="11"/>
                <w:szCs w:val="11"/>
                <w:color w:val="auto"/>
              </w:rPr>
            </w:pPr>
          </w:p>
        </w:tc>
        <w:tc>
          <w:tcPr>
            <w:tcW w:w="60" w:type="dxa"/>
            <w:vAlign w:val="bottom"/>
            <w:tcBorders>
              <w:top w:val="single" w:sz="8" w:color="EDFAEC"/>
              <w:bottom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w:t>
            </w:r>
          </w:p>
        </w:tc>
        <w:tc>
          <w:tcPr>
            <w:tcW w:w="660" w:type="dxa"/>
            <w:vAlign w:val="bottom"/>
            <w:tcBorders>
              <w:top w:val="single" w:sz="8" w:color="EDFAEC"/>
              <w:bottom w:val="single" w:sz="8" w:color="EDFAEC"/>
              <w:right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22,928,412</w:t>
            </w:r>
          </w:p>
        </w:tc>
        <w:tc>
          <w:tcPr>
            <w:tcW w:w="660" w:type="dxa"/>
            <w:vAlign w:val="bottom"/>
            <w:tcBorders>
              <w:top w:val="single" w:sz="8" w:color="EEFAEC"/>
              <w:bottom w:val="single" w:sz="8" w:color="EEFAEC"/>
            </w:tcBorders>
            <w:shd w:val="clear" w:color="auto" w:fill="EEFAEC"/>
          </w:tcPr>
          <w:p>
            <w:pPr>
              <w:spacing w:after="0"/>
              <w:rPr>
                <w:sz w:val="11"/>
                <w:szCs w:val="11"/>
                <w:color w:val="auto"/>
              </w:rPr>
            </w:pPr>
          </w:p>
        </w:tc>
        <w:tc>
          <w:tcPr>
            <w:tcW w:w="220" w:type="dxa"/>
            <w:vAlign w:val="bottom"/>
            <w:tcBorders>
              <w:top w:val="single" w:sz="8" w:color="EDFAEC"/>
              <w:bottom w:val="single" w:sz="8" w:color="EDFAEC"/>
              <w:right w:val="single" w:sz="8" w:color="EDFAEC"/>
            </w:tcBorders>
            <w:shd w:val="clear" w:color="auto" w:fill="EDFAEC"/>
          </w:tcPr>
          <w:p>
            <w:pPr>
              <w:jc w:val="right"/>
              <w:ind w:right="15"/>
              <w:spacing w:after="0" w:line="68" w:lineRule="exact"/>
              <w:rPr>
                <w:sz w:val="20"/>
                <w:szCs w:val="20"/>
                <w:color w:val="auto"/>
              </w:rPr>
            </w:pPr>
            <w:r>
              <w:rPr>
                <w:rFonts w:ascii="Arial" w:cs="Arial" w:eastAsia="Arial" w:hAnsi="Arial"/>
                <w:sz w:val="7"/>
                <w:szCs w:val="7"/>
                <w:color w:val="auto"/>
                <w:shd w:val="clear" w:color="auto" w:fill="EDFAEC"/>
              </w:rPr>
              <w:t>n/a</w:t>
            </w:r>
          </w:p>
        </w:tc>
        <w:tc>
          <w:tcPr>
            <w:tcW w:w="100" w:type="dxa"/>
            <w:vAlign w:val="bottom"/>
            <w:tcBorders>
              <w:top w:val="single" w:sz="8" w:color="EEFAEC"/>
              <w:bottom w:val="single" w:sz="8" w:color="EEFAEC"/>
            </w:tcBorders>
            <w:shd w:val="clear" w:color="auto" w:fill="EEFAEC"/>
          </w:tcPr>
          <w:p>
            <w:pPr>
              <w:spacing w:after="0"/>
              <w:rPr>
                <w:sz w:val="11"/>
                <w:szCs w:val="11"/>
                <w:color w:val="auto"/>
              </w:rPr>
            </w:pPr>
          </w:p>
        </w:tc>
        <w:tc>
          <w:tcPr>
            <w:tcW w:w="60" w:type="dxa"/>
            <w:vAlign w:val="bottom"/>
            <w:tcBorders>
              <w:top w:val="single" w:sz="8" w:color="EDFAEC"/>
              <w:bottom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w:t>
            </w:r>
          </w:p>
        </w:tc>
        <w:tc>
          <w:tcPr>
            <w:tcW w:w="660" w:type="dxa"/>
            <w:vAlign w:val="bottom"/>
            <w:tcBorders>
              <w:top w:val="single" w:sz="8" w:color="EDFAEC"/>
              <w:bottom w:val="single" w:sz="8" w:color="EDFAEC"/>
              <w:right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21,626,368</w:t>
            </w:r>
          </w:p>
        </w:tc>
        <w:tc>
          <w:tcPr>
            <w:tcW w:w="180" w:type="dxa"/>
            <w:vAlign w:val="bottom"/>
            <w:tcBorders>
              <w:top w:val="single" w:sz="8" w:color="EEFAEC"/>
              <w:bottom w:val="single" w:sz="8" w:color="EEFAEC"/>
            </w:tcBorders>
            <w:shd w:val="clear" w:color="auto" w:fill="EEFAEC"/>
          </w:tcPr>
          <w:p>
            <w:pPr>
              <w:spacing w:after="0"/>
              <w:rPr>
                <w:sz w:val="11"/>
                <w:szCs w:val="11"/>
                <w:color w:val="auto"/>
              </w:rPr>
            </w:pPr>
          </w:p>
        </w:tc>
        <w:tc>
          <w:tcPr>
            <w:tcW w:w="60" w:type="dxa"/>
            <w:vAlign w:val="bottom"/>
            <w:tcBorders>
              <w:top w:val="single" w:sz="8" w:color="EDFAEC"/>
              <w:bottom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w:t>
            </w:r>
          </w:p>
        </w:tc>
        <w:tc>
          <w:tcPr>
            <w:tcW w:w="60" w:type="dxa"/>
            <w:vAlign w:val="bottom"/>
            <w:tcBorders>
              <w:top w:val="single" w:sz="8" w:color="EEFAEC"/>
              <w:bottom w:val="single" w:sz="8" w:color="EDFAEC"/>
            </w:tcBorders>
            <w:shd w:val="clear" w:color="auto" w:fill="EDFAEC"/>
          </w:tcPr>
          <w:p>
            <w:pPr>
              <w:spacing w:after="0"/>
              <w:rPr>
                <w:sz w:val="11"/>
                <w:szCs w:val="11"/>
                <w:color w:val="auto"/>
              </w:rPr>
            </w:pPr>
          </w:p>
        </w:tc>
        <w:tc>
          <w:tcPr>
            <w:tcW w:w="600" w:type="dxa"/>
            <w:vAlign w:val="bottom"/>
            <w:tcBorders>
              <w:top w:val="single" w:sz="8" w:color="EDFAEC"/>
              <w:bottom w:val="single" w:sz="8" w:color="EDFAEC"/>
              <w:right w:val="single" w:sz="8" w:color="EDFAEC"/>
            </w:tcBorders>
            <w:shd w:val="clear" w:color="auto" w:fill="EDFAEC"/>
          </w:tcPr>
          <w:p>
            <w:pPr>
              <w:spacing w:after="0" w:line="68" w:lineRule="exact"/>
              <w:rPr>
                <w:sz w:val="20"/>
                <w:szCs w:val="20"/>
                <w:color w:val="auto"/>
              </w:rPr>
            </w:pPr>
            <w:r>
              <w:rPr>
                <w:rFonts w:ascii="Arial" w:cs="Arial" w:eastAsia="Arial" w:hAnsi="Arial"/>
                <w:sz w:val="7"/>
                <w:szCs w:val="7"/>
                <w:color w:val="auto"/>
                <w:shd w:val="clear" w:color="auto" w:fill="EDFAEC"/>
              </w:rPr>
              <w:t>6,241,511</w:t>
            </w:r>
          </w:p>
        </w:tc>
        <w:tc>
          <w:tcPr>
            <w:tcW w:w="140" w:type="dxa"/>
            <w:vAlign w:val="bottom"/>
            <w:tcBorders>
              <w:top w:val="single" w:sz="8" w:color="EEFAEC"/>
              <w:bottom w:val="single" w:sz="8" w:color="EEFAEC"/>
            </w:tcBorders>
            <w:shd w:val="clear" w:color="auto" w:fill="EEFAEC"/>
          </w:tcPr>
          <w:p>
            <w:pPr>
              <w:spacing w:after="0"/>
              <w:rPr>
                <w:sz w:val="11"/>
                <w:szCs w:val="11"/>
                <w:color w:val="auto"/>
              </w:rPr>
            </w:pPr>
          </w:p>
        </w:tc>
        <w:tc>
          <w:tcPr>
            <w:tcW w:w="60" w:type="dxa"/>
            <w:vAlign w:val="bottom"/>
            <w:tcBorders>
              <w:top w:val="single" w:sz="8" w:color="EDFAEC"/>
              <w:bottom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w:t>
            </w:r>
          </w:p>
        </w:tc>
        <w:tc>
          <w:tcPr>
            <w:tcW w:w="60" w:type="dxa"/>
            <w:vAlign w:val="bottom"/>
            <w:tcBorders>
              <w:top w:val="single" w:sz="8" w:color="EEFAEC"/>
              <w:bottom w:val="single" w:sz="8" w:color="EDFAEC"/>
            </w:tcBorders>
            <w:shd w:val="clear" w:color="auto" w:fill="EDFAEC"/>
          </w:tcPr>
          <w:p>
            <w:pPr>
              <w:spacing w:after="0"/>
              <w:rPr>
                <w:sz w:val="11"/>
                <w:szCs w:val="11"/>
                <w:color w:val="auto"/>
              </w:rPr>
            </w:pPr>
          </w:p>
        </w:tc>
        <w:tc>
          <w:tcPr>
            <w:tcW w:w="620" w:type="dxa"/>
            <w:vAlign w:val="bottom"/>
            <w:tcBorders>
              <w:top w:val="single" w:sz="8" w:color="EDFAEC"/>
              <w:bottom w:val="single" w:sz="8" w:color="EDFAEC"/>
              <w:right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4,927,839</w:t>
            </w:r>
          </w:p>
        </w:tc>
        <w:tc>
          <w:tcPr>
            <w:tcW w:w="260" w:type="dxa"/>
            <w:vAlign w:val="bottom"/>
            <w:tcBorders>
              <w:top w:val="single" w:sz="8" w:color="EEFAEC"/>
              <w:bottom w:val="single" w:sz="8" w:color="EEFAEC"/>
            </w:tcBorders>
            <w:shd w:val="clear" w:color="auto" w:fill="EEFAEC"/>
          </w:tcPr>
          <w:p>
            <w:pPr>
              <w:spacing w:after="0"/>
              <w:rPr>
                <w:sz w:val="11"/>
                <w:szCs w:val="11"/>
                <w:color w:val="auto"/>
              </w:rPr>
            </w:pPr>
          </w:p>
        </w:tc>
        <w:tc>
          <w:tcPr>
            <w:tcW w:w="80" w:type="dxa"/>
            <w:vAlign w:val="bottom"/>
            <w:tcBorders>
              <w:top w:val="single" w:sz="8" w:color="EDFAEC"/>
              <w:bottom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w:t>
            </w:r>
          </w:p>
        </w:tc>
        <w:tc>
          <w:tcPr>
            <w:tcW w:w="60" w:type="dxa"/>
            <w:vAlign w:val="bottom"/>
            <w:tcBorders>
              <w:top w:val="single" w:sz="8" w:color="EEFAEC"/>
              <w:bottom w:val="single" w:sz="8" w:color="EDFAEC"/>
            </w:tcBorders>
            <w:shd w:val="clear" w:color="auto" w:fill="EDFAEC"/>
          </w:tcPr>
          <w:p>
            <w:pPr>
              <w:spacing w:after="0"/>
              <w:rPr>
                <w:sz w:val="11"/>
                <w:szCs w:val="11"/>
                <w:color w:val="auto"/>
              </w:rPr>
            </w:pPr>
          </w:p>
        </w:tc>
        <w:tc>
          <w:tcPr>
            <w:tcW w:w="340" w:type="dxa"/>
            <w:vAlign w:val="bottom"/>
            <w:tcBorders>
              <w:top w:val="single" w:sz="8" w:color="EDFAEC"/>
              <w:bottom w:val="single" w:sz="8" w:color="EDFAEC"/>
              <w:right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52.55</w:t>
            </w:r>
          </w:p>
        </w:tc>
        <w:tc>
          <w:tcPr>
            <w:tcW w:w="140" w:type="dxa"/>
            <w:vAlign w:val="bottom"/>
            <w:tcBorders>
              <w:top w:val="single" w:sz="8" w:color="EEFAEC"/>
              <w:bottom w:val="single" w:sz="8" w:color="EEFAEC"/>
            </w:tcBorders>
            <w:shd w:val="clear" w:color="auto" w:fill="EEFAEC"/>
          </w:tcPr>
          <w:p>
            <w:pPr>
              <w:spacing w:after="0"/>
              <w:rPr>
                <w:sz w:val="11"/>
                <w:szCs w:val="11"/>
                <w:color w:val="auto"/>
              </w:rPr>
            </w:pPr>
          </w:p>
        </w:tc>
        <w:tc>
          <w:tcPr>
            <w:tcW w:w="140" w:type="dxa"/>
            <w:vAlign w:val="bottom"/>
            <w:tcBorders>
              <w:top w:val="single" w:sz="8" w:color="EEFAEC"/>
              <w:bottom w:val="single" w:sz="8" w:color="EEFAEC"/>
            </w:tcBorders>
            <w:shd w:val="clear" w:color="auto" w:fill="EEFAEC"/>
          </w:tcPr>
          <w:p>
            <w:pPr>
              <w:spacing w:after="0"/>
              <w:rPr>
                <w:sz w:val="11"/>
                <w:szCs w:val="11"/>
                <w:color w:val="auto"/>
              </w:rPr>
            </w:pPr>
          </w:p>
        </w:tc>
        <w:tc>
          <w:tcPr>
            <w:tcW w:w="60" w:type="dxa"/>
            <w:vAlign w:val="bottom"/>
            <w:tcBorders>
              <w:top w:val="single" w:sz="8" w:color="EDFAEC"/>
              <w:bottom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w:t>
            </w:r>
          </w:p>
        </w:tc>
        <w:tc>
          <w:tcPr>
            <w:tcW w:w="440" w:type="dxa"/>
            <w:vAlign w:val="bottom"/>
            <w:tcBorders>
              <w:top w:val="single" w:sz="8" w:color="EDFAEC"/>
              <w:bottom w:val="single" w:sz="8" w:color="EDFAEC"/>
              <w:right w:val="single" w:sz="8" w:color="EDFAEC"/>
            </w:tcBorders>
            <w:shd w:val="clear" w:color="auto" w:fill="EDFAEC"/>
          </w:tcPr>
          <w:p>
            <w:pPr>
              <w:jc w:val="right"/>
              <w:ind w:right="6"/>
              <w:spacing w:after="0" w:line="68" w:lineRule="exact"/>
              <w:rPr>
                <w:sz w:val="20"/>
                <w:szCs w:val="20"/>
                <w:color w:val="auto"/>
              </w:rPr>
            </w:pPr>
            <w:r>
              <w:rPr>
                <w:rFonts w:ascii="Arial" w:cs="Arial" w:eastAsia="Arial" w:hAnsi="Arial"/>
                <w:sz w:val="7"/>
                <w:szCs w:val="7"/>
                <w:color w:val="auto"/>
                <w:shd w:val="clear" w:color="auto" w:fill="EDFAEC"/>
              </w:rPr>
              <w:t>104.70</w:t>
            </w:r>
          </w:p>
        </w:tc>
        <w:tc>
          <w:tcPr>
            <w:tcW w:w="260" w:type="dxa"/>
            <w:vAlign w:val="bottom"/>
            <w:tcBorders>
              <w:top w:val="single" w:sz="8" w:color="EEFAEC"/>
              <w:bottom w:val="single" w:sz="8" w:color="EEFAEC"/>
            </w:tcBorders>
            <w:shd w:val="clear" w:color="auto" w:fill="EEFAEC"/>
          </w:tcPr>
          <w:p>
            <w:pPr>
              <w:spacing w:after="0"/>
              <w:rPr>
                <w:sz w:val="11"/>
                <w:szCs w:val="11"/>
                <w:color w:val="auto"/>
              </w:rPr>
            </w:pPr>
          </w:p>
        </w:tc>
        <w:tc>
          <w:tcPr>
            <w:tcW w:w="80" w:type="dxa"/>
            <w:vAlign w:val="bottom"/>
            <w:tcBorders>
              <w:top w:val="single" w:sz="8" w:color="EDFAEC"/>
              <w:bottom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w:t>
            </w:r>
          </w:p>
        </w:tc>
        <w:tc>
          <w:tcPr>
            <w:tcW w:w="220" w:type="dxa"/>
            <w:vAlign w:val="bottom"/>
            <w:tcBorders>
              <w:top w:val="single" w:sz="8" w:color="EEFAEC"/>
              <w:bottom w:val="single" w:sz="8" w:color="EDFAEC"/>
            </w:tcBorders>
            <w:shd w:val="clear" w:color="auto" w:fill="EDFAEC"/>
          </w:tcPr>
          <w:p>
            <w:pPr>
              <w:spacing w:after="0"/>
              <w:rPr>
                <w:sz w:val="11"/>
                <w:szCs w:val="11"/>
                <w:color w:val="auto"/>
              </w:rPr>
            </w:pPr>
          </w:p>
        </w:tc>
        <w:tc>
          <w:tcPr>
            <w:tcW w:w="320" w:type="dxa"/>
            <w:vAlign w:val="bottom"/>
            <w:tcBorders>
              <w:top w:val="single" w:sz="8" w:color="EDFAEC"/>
              <w:bottom w:val="single" w:sz="8" w:color="EDFAEC"/>
              <w:right w:val="single" w:sz="8" w:color="EDFAEC"/>
            </w:tcBorders>
            <w:shd w:val="clear" w:color="auto" w:fill="EDFAEC"/>
          </w:tcPr>
          <w:p>
            <w:pPr>
              <w:jc w:val="right"/>
              <w:ind w:right="63"/>
              <w:spacing w:after="0" w:line="68" w:lineRule="exact"/>
              <w:rPr>
                <w:sz w:val="20"/>
                <w:szCs w:val="20"/>
                <w:color w:val="auto"/>
              </w:rPr>
            </w:pPr>
            <w:r>
              <w:rPr>
                <w:rFonts w:ascii="Arial" w:cs="Arial" w:eastAsia="Arial" w:hAnsi="Arial"/>
                <w:sz w:val="7"/>
                <w:szCs w:val="7"/>
                <w:color w:val="auto"/>
                <w:shd w:val="clear" w:color="auto" w:fill="EDFAEC"/>
              </w:rPr>
              <w:t>382</w:t>
            </w:r>
          </w:p>
        </w:tc>
        <w:tc>
          <w:tcPr>
            <w:tcW w:w="180" w:type="dxa"/>
            <w:vAlign w:val="bottom"/>
            <w:tcBorders>
              <w:top w:val="single" w:sz="8" w:color="EEFAEC"/>
              <w:bottom w:val="single" w:sz="8" w:color="EEFAEC"/>
            </w:tcBorders>
            <w:shd w:val="clear" w:color="auto" w:fill="EEFAEC"/>
          </w:tcPr>
          <w:p>
            <w:pPr>
              <w:spacing w:after="0"/>
              <w:rPr>
                <w:sz w:val="11"/>
                <w:szCs w:val="11"/>
                <w:color w:val="auto"/>
              </w:rPr>
            </w:pPr>
          </w:p>
        </w:tc>
        <w:tc>
          <w:tcPr>
            <w:tcW w:w="80" w:type="dxa"/>
            <w:vAlign w:val="bottom"/>
            <w:tcBorders>
              <w:top w:val="single" w:sz="8" w:color="EDFAEC"/>
              <w:bottom w:val="single" w:sz="8" w:color="EDFAEC"/>
            </w:tcBorders>
            <w:shd w:val="clear" w:color="auto" w:fill="EDFAEC"/>
          </w:tcPr>
          <w:p>
            <w:pPr>
              <w:jc w:val="right"/>
              <w:spacing w:after="0" w:line="68" w:lineRule="exact"/>
              <w:rPr>
                <w:sz w:val="20"/>
                <w:szCs w:val="20"/>
                <w:color w:val="auto"/>
              </w:rPr>
            </w:pPr>
            <w:r>
              <w:rPr>
                <w:rFonts w:ascii="Arial" w:cs="Arial" w:eastAsia="Arial" w:hAnsi="Arial"/>
                <w:sz w:val="7"/>
                <w:szCs w:val="7"/>
                <w:color w:val="auto"/>
                <w:shd w:val="clear" w:color="auto" w:fill="EDFAEC"/>
              </w:rPr>
              <w:t>$</w:t>
            </w:r>
          </w:p>
        </w:tc>
        <w:tc>
          <w:tcPr>
            <w:tcW w:w="440" w:type="dxa"/>
            <w:vAlign w:val="bottom"/>
            <w:tcBorders>
              <w:top w:val="single" w:sz="8" w:color="EDFAEC"/>
              <w:bottom w:val="single" w:sz="8" w:color="EDFAEC"/>
              <w:right w:val="single" w:sz="8" w:color="EDFAEC"/>
            </w:tcBorders>
            <w:shd w:val="clear" w:color="auto" w:fill="EDFAEC"/>
          </w:tcPr>
          <w:p>
            <w:pPr>
              <w:jc w:val="right"/>
              <w:ind w:right="10"/>
              <w:spacing w:after="0" w:line="68" w:lineRule="exact"/>
              <w:rPr>
                <w:sz w:val="20"/>
                <w:szCs w:val="20"/>
                <w:color w:val="auto"/>
              </w:rPr>
            </w:pPr>
            <w:r>
              <w:rPr>
                <w:rFonts w:ascii="Arial" w:cs="Arial" w:eastAsia="Arial" w:hAnsi="Arial"/>
                <w:sz w:val="7"/>
                <w:szCs w:val="7"/>
                <w:color w:val="auto"/>
                <w:shd w:val="clear" w:color="auto" w:fill="EDFAEC"/>
              </w:rPr>
              <w:t>10,546</w:t>
            </w:r>
          </w:p>
        </w:tc>
        <w:tc>
          <w:tcPr>
            <w:tcW w:w="0" w:type="dxa"/>
            <w:vAlign w:val="bottom"/>
          </w:tcPr>
          <w:p>
            <w:pPr>
              <w:spacing w:after="0"/>
              <w:rPr>
                <w:sz w:val="1"/>
                <w:szCs w:val="1"/>
                <w:color w:val="auto"/>
              </w:rPr>
            </w:pPr>
          </w:p>
        </w:tc>
      </w:tr>
      <w:tr>
        <w:trPr>
          <w:trHeight w:val="176"/>
        </w:trPr>
        <w:tc>
          <w:tcPr>
            <w:tcW w:w="460" w:type="dxa"/>
            <w:vAlign w:val="bottom"/>
            <w:tcBorders>
              <w:top w:val="single" w:sz="8" w:color="E6E6E6"/>
              <w:bottom w:val="single" w:sz="8" w:color="E6E6E6"/>
            </w:tcBorders>
            <w:gridSpan w:val="3"/>
          </w:tcPr>
          <w:p>
            <w:pPr>
              <w:jc w:val="right"/>
              <w:spacing w:after="0" w:line="176" w:lineRule="exact"/>
              <w:rPr>
                <w:sz w:val="20"/>
                <w:szCs w:val="20"/>
                <w:color w:val="auto"/>
              </w:rPr>
            </w:pPr>
            <w:r>
              <w:rPr>
                <w:rFonts w:ascii="Arial" w:cs="Arial" w:eastAsia="Arial" w:hAnsi="Arial"/>
                <w:sz w:val="13"/>
                <w:szCs w:val="13"/>
                <w:color w:val="auto"/>
              </w:rPr>
              <w:t>2024</w:t>
            </w:r>
            <w:r>
              <w:rPr>
                <w:rFonts w:ascii="Arial" w:cs="Arial" w:eastAsia="Arial" w:hAnsi="Arial"/>
                <w:sz w:val="16"/>
                <w:szCs w:val="16"/>
                <w:color w:val="auto"/>
                <w:vertAlign w:val="superscript"/>
              </w:rPr>
              <w:t>(6)</w:t>
            </w:r>
          </w:p>
        </w:tc>
        <w:tc>
          <w:tcPr>
            <w:tcW w:w="900" w:type="dxa"/>
            <w:vAlign w:val="bottom"/>
            <w:tcBorders>
              <w:top w:val="single" w:sz="8" w:color="E6E6E6"/>
              <w:bottom w:val="single" w:sz="8" w:color="E6E6E6"/>
            </w:tcBorders>
          </w:tcPr>
          <w:p>
            <w:pPr>
              <w:jc w:val="right"/>
              <w:ind w:right="24"/>
              <w:spacing w:after="0"/>
              <w:rPr>
                <w:sz w:val="20"/>
                <w:szCs w:val="20"/>
                <w:color w:val="auto"/>
              </w:rPr>
            </w:pPr>
            <w:r>
              <w:rPr>
                <w:rFonts w:ascii="Arial" w:cs="Arial" w:eastAsia="Arial" w:hAnsi="Arial"/>
                <w:sz w:val="13"/>
                <w:szCs w:val="13"/>
                <w:color w:val="auto"/>
              </w:rPr>
              <w:t>n/a</w:t>
            </w:r>
          </w:p>
        </w:tc>
        <w:tc>
          <w:tcPr>
            <w:tcW w:w="820" w:type="dxa"/>
            <w:vAlign w:val="bottom"/>
            <w:tcBorders>
              <w:top w:val="single" w:sz="8" w:color="E6E6E6"/>
              <w:bottom w:val="single" w:sz="8" w:color="E6E6E6"/>
            </w:tcBorders>
            <w:gridSpan w:val="3"/>
          </w:tcPr>
          <w:p>
            <w:pPr>
              <w:jc w:val="right"/>
              <w:spacing w:after="0"/>
              <w:rPr>
                <w:sz w:val="20"/>
                <w:szCs w:val="20"/>
                <w:color w:val="auto"/>
              </w:rPr>
            </w:pPr>
            <w:r>
              <w:rPr>
                <w:rFonts w:ascii="Arial" w:cs="Arial" w:eastAsia="Arial" w:hAnsi="Arial"/>
                <w:sz w:val="13"/>
                <w:szCs w:val="13"/>
                <w:color w:val="auto"/>
              </w:rPr>
              <w:t>$21,243,485</w:t>
            </w:r>
          </w:p>
        </w:tc>
        <w:tc>
          <w:tcPr>
            <w:tcW w:w="880" w:type="dxa"/>
            <w:vAlign w:val="bottom"/>
            <w:tcBorders>
              <w:top w:val="single" w:sz="8" w:color="E6E6E6"/>
              <w:bottom w:val="single" w:sz="8" w:color="E6E6E6"/>
            </w:tcBorders>
            <w:gridSpan w:val="2"/>
          </w:tcPr>
          <w:p>
            <w:pPr>
              <w:jc w:val="right"/>
              <w:ind w:right="35"/>
              <w:spacing w:after="0"/>
              <w:rPr>
                <w:sz w:val="20"/>
                <w:szCs w:val="20"/>
                <w:color w:val="auto"/>
              </w:rPr>
            </w:pPr>
            <w:r>
              <w:rPr>
                <w:rFonts w:ascii="Arial" w:cs="Arial" w:eastAsia="Arial" w:hAnsi="Arial"/>
                <w:sz w:val="13"/>
                <w:szCs w:val="13"/>
                <w:color w:val="auto"/>
              </w:rPr>
              <w:t>n/a</w:t>
            </w:r>
          </w:p>
        </w:tc>
        <w:tc>
          <w:tcPr>
            <w:tcW w:w="160" w:type="dxa"/>
            <w:vAlign w:val="bottom"/>
            <w:tcBorders>
              <w:top w:val="single" w:sz="8" w:color="E6E6E6"/>
              <w:bottom w:val="single" w:sz="8" w:color="E6E6E6"/>
            </w:tcBorders>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3"/>
                <w:szCs w:val="13"/>
                <w:color w:val="auto"/>
                <w:w w:val="92"/>
              </w:rPr>
              <w:t>33,854,155</w:t>
            </w:r>
          </w:p>
        </w:tc>
        <w:tc>
          <w:tcPr>
            <w:tcW w:w="240" w:type="dxa"/>
            <w:vAlign w:val="bottom"/>
            <w:tcBorders>
              <w:top w:val="single" w:sz="8" w:color="E6E6E6"/>
              <w:bottom w:val="single" w:sz="8" w:color="E6E6E6"/>
            </w:tcBorders>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E6E6E6"/>
              <w:bottom w:val="single" w:sz="8" w:color="E6E6E6"/>
            </w:tcBorders>
            <w:gridSpan w:val="2"/>
          </w:tcPr>
          <w:p>
            <w:pPr>
              <w:ind w:left="60"/>
              <w:spacing w:after="0"/>
              <w:rPr>
                <w:sz w:val="20"/>
                <w:szCs w:val="20"/>
                <w:color w:val="auto"/>
              </w:rPr>
            </w:pPr>
            <w:r>
              <w:rPr>
                <w:rFonts w:ascii="Arial" w:cs="Arial" w:eastAsia="Arial" w:hAnsi="Arial"/>
                <w:sz w:val="13"/>
                <w:szCs w:val="13"/>
                <w:color w:val="auto"/>
                <w:w w:val="96"/>
              </w:rPr>
              <w:t>7,134,815</w:t>
            </w:r>
          </w:p>
        </w:tc>
        <w:tc>
          <w:tcPr>
            <w:tcW w:w="200" w:type="dxa"/>
            <w:vAlign w:val="bottom"/>
            <w:tcBorders>
              <w:top w:val="single" w:sz="8" w:color="E6E6E6"/>
              <w:bottom w:val="single" w:sz="8" w:color="E6E6E6"/>
            </w:tcBorders>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E6E6E6"/>
              <w:bottom w:val="single" w:sz="8" w:color="E6E6E6"/>
            </w:tcBorders>
            <w:gridSpan w:val="2"/>
          </w:tcPr>
          <w:p>
            <w:pPr>
              <w:jc w:val="right"/>
              <w:spacing w:after="0"/>
              <w:rPr>
                <w:sz w:val="20"/>
                <w:szCs w:val="20"/>
                <w:color w:val="auto"/>
              </w:rPr>
            </w:pPr>
            <w:r>
              <w:rPr>
                <w:rFonts w:ascii="Arial" w:cs="Arial" w:eastAsia="Arial" w:hAnsi="Arial"/>
                <w:sz w:val="13"/>
                <w:szCs w:val="13"/>
                <w:color w:val="auto"/>
                <w:w w:val="95"/>
              </w:rPr>
              <w:t>10,873,143</w:t>
            </w:r>
          </w:p>
        </w:tc>
        <w:tc>
          <w:tcPr>
            <w:tcW w:w="740" w:type="dxa"/>
            <w:vAlign w:val="bottom"/>
            <w:tcBorders>
              <w:top w:val="single" w:sz="8" w:color="E6E6E6"/>
              <w:bottom w:val="single" w:sz="8" w:color="E6E6E6"/>
            </w:tcBorders>
            <w:gridSpan w:val="4"/>
          </w:tcPr>
          <w:p>
            <w:pPr>
              <w:jc w:val="right"/>
              <w:spacing w:after="0"/>
              <w:rPr>
                <w:sz w:val="20"/>
                <w:szCs w:val="20"/>
                <w:color w:val="auto"/>
              </w:rPr>
            </w:pPr>
            <w:r>
              <w:rPr>
                <w:rFonts w:ascii="Arial" w:cs="Arial" w:eastAsia="Arial" w:hAnsi="Arial"/>
                <w:sz w:val="13"/>
                <w:szCs w:val="13"/>
                <w:color w:val="auto"/>
              </w:rPr>
              <w:t>$ 62.42</w:t>
            </w:r>
          </w:p>
        </w:tc>
        <w:tc>
          <w:tcPr>
            <w:tcW w:w="140" w:type="dxa"/>
            <w:vAlign w:val="bottom"/>
            <w:tcBorders>
              <w:top w:val="single" w:sz="8" w:color="E6E6E6"/>
              <w:bottom w:val="single" w:sz="8" w:color="E6E6E6"/>
            </w:tcBorders>
          </w:tcPr>
          <w:p>
            <w:pPr>
              <w:spacing w:after="0"/>
              <w:rPr>
                <w:sz w:val="15"/>
                <w:szCs w:val="15"/>
                <w:color w:val="auto"/>
              </w:rPr>
            </w:pPr>
          </w:p>
        </w:tc>
        <w:tc>
          <w:tcPr>
            <w:tcW w:w="200" w:type="dxa"/>
            <w:vAlign w:val="bottom"/>
            <w:tcBorders>
              <w:top w:val="single" w:sz="8" w:color="E6E6E6"/>
              <w:bottom w:val="single" w:sz="8" w:color="E6E6E6"/>
            </w:tcBorders>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E6E6E6"/>
              <w:bottom w:val="single" w:sz="8" w:color="E6E6E6"/>
            </w:tcBorders>
          </w:tcPr>
          <w:p>
            <w:pPr>
              <w:jc w:val="right"/>
              <w:ind w:right="6"/>
              <w:spacing w:after="0"/>
              <w:rPr>
                <w:sz w:val="20"/>
                <w:szCs w:val="20"/>
                <w:color w:val="auto"/>
              </w:rPr>
            </w:pPr>
            <w:r>
              <w:rPr>
                <w:rFonts w:ascii="Arial" w:cs="Arial" w:eastAsia="Arial" w:hAnsi="Arial"/>
                <w:sz w:val="13"/>
                <w:szCs w:val="13"/>
                <w:color w:val="auto"/>
                <w:w w:val="90"/>
              </w:rPr>
              <w:t>101.49</w:t>
            </w:r>
          </w:p>
        </w:tc>
        <w:tc>
          <w:tcPr>
            <w:tcW w:w="340" w:type="dxa"/>
            <w:vAlign w:val="bottom"/>
            <w:tcBorders>
              <w:top w:val="single" w:sz="8" w:color="E6E6E6"/>
              <w:bottom w:val="single" w:sz="8" w:color="E6E6E6"/>
            </w:tcBorders>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E6E6E6"/>
              <w:bottom w:val="single" w:sz="8" w:color="E6E6E6"/>
            </w:tcBorders>
            <w:gridSpan w:val="2"/>
          </w:tcPr>
          <w:p>
            <w:pPr>
              <w:jc w:val="right"/>
              <w:ind w:right="63"/>
              <w:spacing w:after="0"/>
              <w:rPr>
                <w:sz w:val="20"/>
                <w:szCs w:val="20"/>
                <w:color w:val="auto"/>
              </w:rPr>
            </w:pPr>
            <w:r>
              <w:rPr>
                <w:rFonts w:ascii="Arial" w:cs="Arial" w:eastAsia="Arial" w:hAnsi="Arial"/>
                <w:sz w:val="13"/>
                <w:szCs w:val="13"/>
                <w:color w:val="auto"/>
              </w:rPr>
              <w:t>1,450</w:t>
            </w:r>
          </w:p>
        </w:tc>
        <w:tc>
          <w:tcPr>
            <w:tcW w:w="700" w:type="dxa"/>
            <w:vAlign w:val="bottom"/>
            <w:tcBorders>
              <w:top w:val="single" w:sz="8" w:color="E6E6E6"/>
              <w:bottom w:val="single" w:sz="8" w:color="E6E6E6"/>
            </w:tcBorders>
            <w:gridSpan w:val="3"/>
          </w:tcPr>
          <w:p>
            <w:pPr>
              <w:jc w:val="right"/>
              <w:ind w:right="10"/>
              <w:spacing w:after="0"/>
              <w:rPr>
                <w:sz w:val="20"/>
                <w:szCs w:val="20"/>
                <w:color w:val="auto"/>
              </w:rPr>
            </w:pPr>
            <w:r>
              <w:rPr>
                <w:rFonts w:ascii="Arial" w:cs="Arial" w:eastAsia="Arial" w:hAnsi="Arial"/>
                <w:sz w:val="13"/>
                <w:szCs w:val="13"/>
                <w:color w:val="auto"/>
              </w:rPr>
              <w:t>$10,101</w:t>
            </w:r>
          </w:p>
        </w:tc>
        <w:tc>
          <w:tcPr>
            <w:tcW w:w="0" w:type="dxa"/>
            <w:vAlign w:val="bottom"/>
          </w:tcPr>
          <w:p>
            <w:pPr>
              <w:spacing w:after="0"/>
              <w:rPr>
                <w:sz w:val="1"/>
                <w:szCs w:val="1"/>
                <w:color w:val="auto"/>
              </w:rPr>
            </w:pPr>
          </w:p>
        </w:tc>
      </w:tr>
      <w:tr>
        <w:trPr>
          <w:trHeight w:val="183"/>
        </w:trPr>
        <w:tc>
          <w:tcPr>
            <w:tcW w:w="460" w:type="dxa"/>
            <w:vAlign w:val="bottom"/>
            <w:tcBorders>
              <w:bottom w:val="single" w:sz="8" w:color="E6E6E6"/>
            </w:tcBorders>
            <w:gridSpan w:val="3"/>
            <w:shd w:val="clear" w:color="auto" w:fill="EEFAEC"/>
          </w:tcPr>
          <w:p>
            <w:pPr>
              <w:jc w:val="right"/>
              <w:spacing w:after="0" w:line="183" w:lineRule="exact"/>
              <w:rPr>
                <w:sz w:val="20"/>
                <w:szCs w:val="20"/>
                <w:color w:val="auto"/>
              </w:rPr>
            </w:pPr>
            <w:r>
              <w:rPr>
                <w:rFonts w:ascii="Arial" w:cs="Arial" w:eastAsia="Arial" w:hAnsi="Arial"/>
                <w:sz w:val="13"/>
                <w:szCs w:val="13"/>
                <w:color w:val="auto"/>
              </w:rPr>
              <w:t>2023</w:t>
            </w:r>
            <w:r>
              <w:rPr>
                <w:rFonts w:ascii="Arial" w:cs="Arial" w:eastAsia="Arial" w:hAnsi="Arial"/>
                <w:sz w:val="16"/>
                <w:szCs w:val="16"/>
                <w:color w:val="auto"/>
                <w:vertAlign w:val="superscript"/>
              </w:rPr>
              <w:t>(7)</w:t>
            </w:r>
          </w:p>
        </w:tc>
        <w:tc>
          <w:tcPr>
            <w:tcW w:w="900" w:type="dxa"/>
            <w:vAlign w:val="bottom"/>
            <w:tcBorders>
              <w:bottom w:val="single" w:sz="8" w:color="E6E6E6"/>
            </w:tcBorders>
            <w:shd w:val="clear" w:color="auto" w:fill="EEFAEC"/>
          </w:tcPr>
          <w:p>
            <w:pPr>
              <w:jc w:val="right"/>
              <w:ind w:right="24"/>
              <w:spacing w:after="0"/>
              <w:rPr>
                <w:sz w:val="20"/>
                <w:szCs w:val="20"/>
                <w:color w:val="auto"/>
              </w:rPr>
            </w:pPr>
            <w:r>
              <w:rPr>
                <w:rFonts w:ascii="Arial" w:cs="Arial" w:eastAsia="Arial" w:hAnsi="Arial"/>
                <w:sz w:val="13"/>
                <w:szCs w:val="13"/>
                <w:color w:val="auto"/>
              </w:rPr>
              <w:t>n/a</w:t>
            </w:r>
          </w:p>
        </w:tc>
        <w:tc>
          <w:tcPr>
            <w:tcW w:w="820" w:type="dxa"/>
            <w:vAlign w:val="bottom"/>
            <w:tcBorders>
              <w:bottom w:val="single" w:sz="8" w:color="E6E6E6"/>
              <w:right w:val="single" w:sz="8" w:color="EEFAEC"/>
            </w:tcBorders>
            <w:gridSpan w:val="3"/>
            <w:shd w:val="clear" w:color="auto" w:fill="EEFAEC"/>
          </w:tcPr>
          <w:p>
            <w:pPr>
              <w:jc w:val="right"/>
              <w:spacing w:after="0"/>
              <w:rPr>
                <w:sz w:val="20"/>
                <w:szCs w:val="20"/>
                <w:color w:val="auto"/>
              </w:rPr>
            </w:pPr>
            <w:r>
              <w:rPr>
                <w:rFonts w:ascii="Arial" w:cs="Arial" w:eastAsia="Arial" w:hAnsi="Arial"/>
                <w:sz w:val="13"/>
                <w:szCs w:val="13"/>
                <w:color w:val="auto"/>
              </w:rPr>
              <w:t>$19,433,742</w:t>
            </w:r>
          </w:p>
        </w:tc>
        <w:tc>
          <w:tcPr>
            <w:tcW w:w="880" w:type="dxa"/>
            <w:vAlign w:val="bottom"/>
            <w:tcBorders>
              <w:bottom w:val="single" w:sz="8" w:color="E6E6E6"/>
              <w:right w:val="single" w:sz="8" w:color="EEFAEC"/>
            </w:tcBorders>
            <w:gridSpan w:val="2"/>
            <w:shd w:val="clear" w:color="auto" w:fill="EEFAEC"/>
          </w:tcPr>
          <w:p>
            <w:pPr>
              <w:jc w:val="right"/>
              <w:ind w:right="35"/>
              <w:spacing w:after="0"/>
              <w:rPr>
                <w:sz w:val="20"/>
                <w:szCs w:val="20"/>
                <w:color w:val="auto"/>
              </w:rPr>
            </w:pPr>
            <w:r>
              <w:rPr>
                <w:rFonts w:ascii="Arial" w:cs="Arial" w:eastAsia="Arial" w:hAnsi="Arial"/>
                <w:sz w:val="13"/>
                <w:szCs w:val="13"/>
                <w:color w:val="auto"/>
              </w:rPr>
              <w:t>n/a</w:t>
            </w:r>
          </w:p>
        </w:tc>
        <w:tc>
          <w:tcPr>
            <w:tcW w:w="16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6E6E6"/>
              <w:right w:val="single" w:sz="8" w:color="EEFAEC"/>
            </w:tcBorders>
            <w:shd w:val="clear" w:color="auto" w:fill="EEFAEC"/>
          </w:tcPr>
          <w:p>
            <w:pPr>
              <w:jc w:val="right"/>
              <w:spacing w:after="0"/>
              <w:rPr>
                <w:sz w:val="20"/>
                <w:szCs w:val="20"/>
                <w:color w:val="auto"/>
              </w:rPr>
            </w:pPr>
            <w:r>
              <w:rPr>
                <w:rFonts w:ascii="Arial" w:cs="Arial" w:eastAsia="Arial" w:hAnsi="Arial"/>
                <w:sz w:val="13"/>
                <w:szCs w:val="13"/>
                <w:color w:val="auto"/>
                <w:w w:val="92"/>
              </w:rPr>
              <w:t>14,340,414</w:t>
            </w:r>
          </w:p>
        </w:tc>
        <w:tc>
          <w:tcPr>
            <w:tcW w:w="24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6E6E6"/>
              <w:right w:val="single" w:sz="8" w:color="EEFAEC"/>
            </w:tcBorders>
            <w:gridSpan w:val="2"/>
            <w:shd w:val="clear" w:color="auto" w:fill="EEFAEC"/>
          </w:tcPr>
          <w:p>
            <w:pPr>
              <w:ind w:left="60"/>
              <w:spacing w:after="0"/>
              <w:rPr>
                <w:sz w:val="20"/>
                <w:szCs w:val="20"/>
                <w:color w:val="auto"/>
              </w:rPr>
            </w:pPr>
            <w:r>
              <w:rPr>
                <w:rFonts w:ascii="Arial" w:cs="Arial" w:eastAsia="Arial" w:hAnsi="Arial"/>
                <w:sz w:val="13"/>
                <w:szCs w:val="13"/>
                <w:color w:val="auto"/>
                <w:w w:val="96"/>
              </w:rPr>
              <w:t>6,589,111</w:t>
            </w:r>
          </w:p>
        </w:tc>
        <w:tc>
          <w:tcPr>
            <w:tcW w:w="20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right w:val="single" w:sz="8" w:color="EEFAEC"/>
            </w:tcBorders>
            <w:gridSpan w:val="2"/>
            <w:shd w:val="clear" w:color="auto" w:fill="EEFAEC"/>
          </w:tcPr>
          <w:p>
            <w:pPr>
              <w:jc w:val="right"/>
              <w:spacing w:after="0"/>
              <w:rPr>
                <w:sz w:val="20"/>
                <w:szCs w:val="20"/>
                <w:color w:val="auto"/>
              </w:rPr>
            </w:pPr>
            <w:r>
              <w:rPr>
                <w:rFonts w:ascii="Arial" w:cs="Arial" w:eastAsia="Arial" w:hAnsi="Arial"/>
                <w:sz w:val="13"/>
                <w:szCs w:val="13"/>
                <w:color w:val="auto"/>
              </w:rPr>
              <w:t>5,523,077</w:t>
            </w:r>
          </w:p>
        </w:tc>
        <w:tc>
          <w:tcPr>
            <w:tcW w:w="740" w:type="dxa"/>
            <w:vAlign w:val="bottom"/>
            <w:tcBorders>
              <w:bottom w:val="single" w:sz="8" w:color="E6E6E6"/>
              <w:right w:val="single" w:sz="8" w:color="EEFAEC"/>
            </w:tcBorders>
            <w:gridSpan w:val="4"/>
            <w:shd w:val="clear" w:color="auto" w:fill="EEFAEC"/>
          </w:tcPr>
          <w:p>
            <w:pPr>
              <w:jc w:val="right"/>
              <w:spacing w:after="0"/>
              <w:rPr>
                <w:sz w:val="20"/>
                <w:szCs w:val="20"/>
                <w:color w:val="auto"/>
              </w:rPr>
            </w:pPr>
            <w:r>
              <w:rPr>
                <w:rFonts w:ascii="Arial" w:cs="Arial" w:eastAsia="Arial" w:hAnsi="Arial"/>
                <w:sz w:val="13"/>
                <w:szCs w:val="13"/>
                <w:color w:val="auto"/>
              </w:rPr>
              <w:t>$ 45.47</w:t>
            </w:r>
          </w:p>
        </w:tc>
        <w:tc>
          <w:tcPr>
            <w:tcW w:w="140" w:type="dxa"/>
            <w:vAlign w:val="bottom"/>
            <w:tcBorders>
              <w:bottom w:val="single" w:sz="8" w:color="E6E6E6"/>
            </w:tcBorders>
            <w:shd w:val="clear" w:color="auto" w:fill="EEFAEC"/>
          </w:tcPr>
          <w:p>
            <w:pPr>
              <w:spacing w:after="0"/>
              <w:rPr>
                <w:sz w:val="15"/>
                <w:szCs w:val="15"/>
                <w:color w:val="auto"/>
              </w:rPr>
            </w:pPr>
          </w:p>
        </w:tc>
        <w:tc>
          <w:tcPr>
            <w:tcW w:w="20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E6E6E6"/>
              <w:right w:val="single" w:sz="8" w:color="EEFAEC"/>
            </w:tcBorders>
            <w:shd w:val="clear" w:color="auto" w:fill="EEFAEC"/>
          </w:tcPr>
          <w:p>
            <w:pPr>
              <w:jc w:val="right"/>
              <w:ind w:right="6"/>
              <w:spacing w:after="0"/>
              <w:rPr>
                <w:sz w:val="20"/>
                <w:szCs w:val="20"/>
                <w:color w:val="auto"/>
              </w:rPr>
            </w:pPr>
            <w:r>
              <w:rPr>
                <w:rFonts w:ascii="Arial" w:cs="Arial" w:eastAsia="Arial" w:hAnsi="Arial"/>
                <w:sz w:val="13"/>
                <w:szCs w:val="13"/>
                <w:color w:val="auto"/>
              </w:rPr>
              <w:t>95.12</w:t>
            </w:r>
          </w:p>
        </w:tc>
        <w:tc>
          <w:tcPr>
            <w:tcW w:w="34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6E6E6"/>
              <w:right w:val="single" w:sz="8" w:color="EEFAEC"/>
            </w:tcBorders>
            <w:gridSpan w:val="2"/>
            <w:shd w:val="clear" w:color="auto" w:fill="EEFAEC"/>
          </w:tcPr>
          <w:p>
            <w:pPr>
              <w:jc w:val="right"/>
              <w:ind w:right="23"/>
              <w:spacing w:after="0"/>
              <w:rPr>
                <w:sz w:val="20"/>
                <w:szCs w:val="20"/>
                <w:color w:val="auto"/>
              </w:rPr>
            </w:pPr>
            <w:r>
              <w:rPr>
                <w:rFonts w:ascii="Arial" w:cs="Arial" w:eastAsia="Arial" w:hAnsi="Arial"/>
                <w:sz w:val="13"/>
                <w:szCs w:val="13"/>
                <w:color w:val="auto"/>
              </w:rPr>
              <w:t>(6,655)</w:t>
            </w:r>
          </w:p>
        </w:tc>
        <w:tc>
          <w:tcPr>
            <w:tcW w:w="700" w:type="dxa"/>
            <w:vAlign w:val="bottom"/>
            <w:tcBorders>
              <w:bottom w:val="single" w:sz="8" w:color="E6E6E6"/>
              <w:right w:val="single" w:sz="8" w:color="EEFAEC"/>
            </w:tcBorders>
            <w:gridSpan w:val="3"/>
            <w:shd w:val="clear" w:color="auto" w:fill="EEFAEC"/>
          </w:tcPr>
          <w:p>
            <w:pPr>
              <w:jc w:val="right"/>
              <w:ind w:right="10"/>
              <w:spacing w:after="0"/>
              <w:rPr>
                <w:sz w:val="20"/>
                <w:szCs w:val="20"/>
                <w:color w:val="auto"/>
              </w:rPr>
            </w:pPr>
            <w:r>
              <w:rPr>
                <w:rFonts w:ascii="Arial" w:cs="Arial" w:eastAsia="Arial" w:hAnsi="Arial"/>
                <w:sz w:val="13"/>
                <w:szCs w:val="13"/>
                <w:color w:val="auto"/>
              </w:rPr>
              <w:t>$14,581</w:t>
            </w:r>
          </w:p>
        </w:tc>
        <w:tc>
          <w:tcPr>
            <w:tcW w:w="0" w:type="dxa"/>
            <w:vAlign w:val="bottom"/>
          </w:tcPr>
          <w:p>
            <w:pPr>
              <w:spacing w:after="0"/>
              <w:rPr>
                <w:sz w:val="1"/>
                <w:szCs w:val="1"/>
                <w:color w:val="auto"/>
              </w:rPr>
            </w:pPr>
          </w:p>
        </w:tc>
      </w:tr>
      <w:tr>
        <w:trPr>
          <w:trHeight w:val="183"/>
        </w:trPr>
        <w:tc>
          <w:tcPr>
            <w:tcW w:w="460" w:type="dxa"/>
            <w:vAlign w:val="bottom"/>
            <w:tcBorders>
              <w:bottom w:val="single" w:sz="8" w:color="E6E6E6"/>
            </w:tcBorders>
            <w:gridSpan w:val="3"/>
          </w:tcPr>
          <w:p>
            <w:pPr>
              <w:jc w:val="right"/>
              <w:spacing w:after="0" w:line="183" w:lineRule="exact"/>
              <w:rPr>
                <w:sz w:val="20"/>
                <w:szCs w:val="20"/>
                <w:color w:val="auto"/>
              </w:rPr>
            </w:pPr>
            <w:r>
              <w:rPr>
                <w:rFonts w:ascii="Arial" w:cs="Arial" w:eastAsia="Arial" w:hAnsi="Arial"/>
                <w:sz w:val="13"/>
                <w:szCs w:val="13"/>
                <w:color w:val="auto"/>
              </w:rPr>
              <w:t>2022</w:t>
            </w:r>
            <w:r>
              <w:rPr>
                <w:rFonts w:ascii="Arial" w:cs="Arial" w:eastAsia="Arial" w:hAnsi="Arial"/>
                <w:sz w:val="16"/>
                <w:szCs w:val="16"/>
                <w:color w:val="auto"/>
                <w:vertAlign w:val="superscript"/>
              </w:rPr>
              <w:t>(8)</w:t>
            </w:r>
          </w:p>
        </w:tc>
        <w:tc>
          <w:tcPr>
            <w:tcW w:w="900" w:type="dxa"/>
            <w:vAlign w:val="bottom"/>
            <w:tcBorders>
              <w:bottom w:val="single" w:sz="8" w:color="E6E6E6"/>
            </w:tcBorders>
          </w:tcPr>
          <w:p>
            <w:pPr>
              <w:jc w:val="right"/>
              <w:ind w:right="4"/>
              <w:spacing w:after="0"/>
              <w:rPr>
                <w:sz w:val="20"/>
                <w:szCs w:val="20"/>
                <w:color w:val="auto"/>
              </w:rPr>
            </w:pPr>
            <w:r>
              <w:rPr>
                <w:rFonts w:ascii="Arial" w:cs="Arial" w:eastAsia="Arial" w:hAnsi="Arial"/>
                <w:sz w:val="13"/>
                <w:szCs w:val="13"/>
                <w:color w:val="auto"/>
              </w:rPr>
              <w:t>$45,321,374</w:t>
            </w:r>
          </w:p>
        </w:tc>
        <w:tc>
          <w:tcPr>
            <w:tcW w:w="820" w:type="dxa"/>
            <w:vAlign w:val="bottom"/>
            <w:tcBorders>
              <w:bottom w:val="single" w:sz="8" w:color="E6E6E6"/>
            </w:tcBorders>
            <w:gridSpan w:val="3"/>
          </w:tcPr>
          <w:p>
            <w:pPr>
              <w:jc w:val="right"/>
              <w:spacing w:after="0"/>
              <w:rPr>
                <w:sz w:val="20"/>
                <w:szCs w:val="20"/>
                <w:color w:val="auto"/>
              </w:rPr>
            </w:pPr>
            <w:r>
              <w:rPr>
                <w:rFonts w:ascii="Arial" w:cs="Arial" w:eastAsia="Arial" w:hAnsi="Arial"/>
                <w:sz w:val="13"/>
                <w:szCs w:val="13"/>
                <w:color w:val="auto"/>
              </w:rPr>
              <w:t>$15,830,864</w:t>
            </w:r>
          </w:p>
        </w:tc>
        <w:tc>
          <w:tcPr>
            <w:tcW w:w="880" w:type="dxa"/>
            <w:vAlign w:val="bottom"/>
            <w:tcBorders>
              <w:bottom w:val="single" w:sz="8" w:color="E6E6E6"/>
            </w:tcBorders>
            <w:gridSpan w:val="2"/>
          </w:tcPr>
          <w:p>
            <w:pPr>
              <w:jc w:val="right"/>
              <w:ind w:right="15"/>
              <w:spacing w:after="0"/>
              <w:rPr>
                <w:sz w:val="20"/>
                <w:szCs w:val="20"/>
                <w:color w:val="auto"/>
              </w:rPr>
            </w:pPr>
            <w:r>
              <w:rPr>
                <w:rFonts w:ascii="Arial" w:cs="Arial" w:eastAsia="Arial" w:hAnsi="Arial"/>
                <w:sz w:val="13"/>
                <w:szCs w:val="13"/>
                <w:color w:val="auto"/>
              </w:rPr>
              <w:t>$19,650,428</w:t>
            </w:r>
          </w:p>
        </w:tc>
        <w:tc>
          <w:tcPr>
            <w:tcW w:w="160" w:type="dxa"/>
            <w:vAlign w:val="bottom"/>
            <w:tcBorders>
              <w:bottom w:val="single" w:sz="8" w:color="E6E6E6"/>
            </w:tcBorders>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6E6E6"/>
            </w:tcBorders>
          </w:tcPr>
          <w:p>
            <w:pPr>
              <w:jc w:val="right"/>
              <w:spacing w:after="0"/>
              <w:rPr>
                <w:sz w:val="20"/>
                <w:szCs w:val="20"/>
                <w:color w:val="auto"/>
              </w:rPr>
            </w:pPr>
            <w:r>
              <w:rPr>
                <w:rFonts w:ascii="Arial" w:cs="Arial" w:eastAsia="Arial" w:hAnsi="Arial"/>
                <w:sz w:val="13"/>
                <w:szCs w:val="13"/>
                <w:color w:val="auto"/>
              </w:rPr>
              <w:t>3,210,304</w:t>
            </w:r>
          </w:p>
        </w:tc>
        <w:tc>
          <w:tcPr>
            <w:tcW w:w="240" w:type="dxa"/>
            <w:vAlign w:val="bottom"/>
            <w:tcBorders>
              <w:bottom w:val="single" w:sz="8" w:color="E6E6E6"/>
            </w:tcBorders>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6E6E6"/>
            </w:tcBorders>
            <w:gridSpan w:val="2"/>
          </w:tcPr>
          <w:p>
            <w:pPr>
              <w:ind w:left="60"/>
              <w:spacing w:after="0"/>
              <w:rPr>
                <w:sz w:val="20"/>
                <w:szCs w:val="20"/>
                <w:color w:val="auto"/>
              </w:rPr>
            </w:pPr>
            <w:r>
              <w:rPr>
                <w:rFonts w:ascii="Arial" w:cs="Arial" w:eastAsia="Arial" w:hAnsi="Arial"/>
                <w:sz w:val="13"/>
                <w:szCs w:val="13"/>
                <w:color w:val="auto"/>
                <w:w w:val="96"/>
              </w:rPr>
              <w:t>8,545,905</w:t>
            </w:r>
          </w:p>
        </w:tc>
        <w:tc>
          <w:tcPr>
            <w:tcW w:w="200" w:type="dxa"/>
            <w:vAlign w:val="bottom"/>
            <w:tcBorders>
              <w:bottom w:val="single" w:sz="8" w:color="E6E6E6"/>
            </w:tcBorders>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6E6E6"/>
            </w:tcBorders>
            <w:gridSpan w:val="2"/>
          </w:tcPr>
          <w:p>
            <w:pPr>
              <w:jc w:val="right"/>
              <w:spacing w:after="0"/>
              <w:rPr>
                <w:sz w:val="20"/>
                <w:szCs w:val="20"/>
                <w:color w:val="auto"/>
              </w:rPr>
            </w:pPr>
            <w:r>
              <w:rPr>
                <w:rFonts w:ascii="Arial" w:cs="Arial" w:eastAsia="Arial" w:hAnsi="Arial"/>
                <w:sz w:val="13"/>
                <w:szCs w:val="13"/>
                <w:color w:val="auto"/>
              </w:rPr>
              <w:t>2,582,104</w:t>
            </w:r>
          </w:p>
        </w:tc>
        <w:tc>
          <w:tcPr>
            <w:tcW w:w="740" w:type="dxa"/>
            <w:vAlign w:val="bottom"/>
            <w:tcBorders>
              <w:bottom w:val="single" w:sz="8" w:color="E6E6E6"/>
            </w:tcBorders>
            <w:gridSpan w:val="4"/>
          </w:tcPr>
          <w:p>
            <w:pPr>
              <w:jc w:val="right"/>
              <w:spacing w:after="0"/>
              <w:rPr>
                <w:sz w:val="20"/>
                <w:szCs w:val="20"/>
                <w:color w:val="auto"/>
              </w:rPr>
            </w:pPr>
            <w:r>
              <w:rPr>
                <w:rFonts w:ascii="Arial" w:cs="Arial" w:eastAsia="Arial" w:hAnsi="Arial"/>
                <w:sz w:val="13"/>
                <w:szCs w:val="13"/>
                <w:color w:val="auto"/>
              </w:rPr>
              <w:t>$ 49.63</w:t>
            </w:r>
          </w:p>
        </w:tc>
        <w:tc>
          <w:tcPr>
            <w:tcW w:w="140" w:type="dxa"/>
            <w:vAlign w:val="bottom"/>
            <w:tcBorders>
              <w:bottom w:val="single" w:sz="8" w:color="E6E6E6"/>
            </w:tcBorders>
          </w:tcPr>
          <w:p>
            <w:pPr>
              <w:spacing w:after="0"/>
              <w:rPr>
                <w:sz w:val="15"/>
                <w:szCs w:val="15"/>
                <w:color w:val="auto"/>
              </w:rPr>
            </w:pPr>
          </w:p>
        </w:tc>
        <w:tc>
          <w:tcPr>
            <w:tcW w:w="200" w:type="dxa"/>
            <w:vAlign w:val="bottom"/>
            <w:tcBorders>
              <w:bottom w:val="single" w:sz="8" w:color="E6E6E6"/>
            </w:tcBorders>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E6E6E6"/>
            </w:tcBorders>
          </w:tcPr>
          <w:p>
            <w:pPr>
              <w:jc w:val="right"/>
              <w:ind w:right="6"/>
              <w:spacing w:after="0"/>
              <w:rPr>
                <w:sz w:val="20"/>
                <w:szCs w:val="20"/>
                <w:color w:val="auto"/>
              </w:rPr>
            </w:pPr>
            <w:r>
              <w:rPr>
                <w:rFonts w:ascii="Arial" w:cs="Arial" w:eastAsia="Arial" w:hAnsi="Arial"/>
                <w:sz w:val="13"/>
                <w:szCs w:val="13"/>
                <w:color w:val="auto"/>
              </w:rPr>
              <w:t>80.48</w:t>
            </w:r>
          </w:p>
        </w:tc>
        <w:tc>
          <w:tcPr>
            <w:tcW w:w="340" w:type="dxa"/>
            <w:vAlign w:val="bottom"/>
            <w:tcBorders>
              <w:bottom w:val="single" w:sz="8" w:color="E6E6E6"/>
            </w:tcBorders>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6E6E6"/>
            </w:tcBorders>
            <w:gridSpan w:val="2"/>
          </w:tcPr>
          <w:p>
            <w:pPr>
              <w:jc w:val="right"/>
              <w:ind w:right="23"/>
              <w:spacing w:after="0"/>
              <w:rPr>
                <w:sz w:val="20"/>
                <w:szCs w:val="20"/>
                <w:color w:val="auto"/>
              </w:rPr>
            </w:pPr>
            <w:r>
              <w:rPr>
                <w:rFonts w:ascii="Arial" w:cs="Arial" w:eastAsia="Arial" w:hAnsi="Arial"/>
                <w:sz w:val="13"/>
                <w:szCs w:val="13"/>
                <w:color w:val="auto"/>
                <w:w w:val="94"/>
              </w:rPr>
              <w:t>(16,752)</w:t>
            </w:r>
          </w:p>
        </w:tc>
        <w:tc>
          <w:tcPr>
            <w:tcW w:w="700" w:type="dxa"/>
            <w:vAlign w:val="bottom"/>
            <w:tcBorders>
              <w:bottom w:val="single" w:sz="8" w:color="E6E6E6"/>
            </w:tcBorders>
            <w:gridSpan w:val="3"/>
          </w:tcPr>
          <w:p>
            <w:pPr>
              <w:jc w:val="right"/>
              <w:ind w:right="10"/>
              <w:spacing w:after="0"/>
              <w:rPr>
                <w:sz w:val="20"/>
                <w:szCs w:val="20"/>
                <w:color w:val="auto"/>
              </w:rPr>
            </w:pPr>
            <w:r>
              <w:rPr>
                <w:rFonts w:ascii="Arial" w:cs="Arial" w:eastAsia="Arial" w:hAnsi="Arial"/>
                <w:sz w:val="13"/>
                <w:szCs w:val="13"/>
                <w:color w:val="auto"/>
              </w:rPr>
              <w:t>$14,817</w:t>
            </w:r>
          </w:p>
        </w:tc>
        <w:tc>
          <w:tcPr>
            <w:tcW w:w="0" w:type="dxa"/>
            <w:vAlign w:val="bottom"/>
          </w:tcPr>
          <w:p>
            <w:pPr>
              <w:spacing w:after="0"/>
              <w:rPr>
                <w:sz w:val="1"/>
                <w:szCs w:val="1"/>
                <w:color w:val="auto"/>
              </w:rPr>
            </w:pPr>
          </w:p>
        </w:tc>
      </w:tr>
      <w:tr>
        <w:trPr>
          <w:trHeight w:val="183"/>
        </w:trPr>
        <w:tc>
          <w:tcPr>
            <w:tcW w:w="460" w:type="dxa"/>
            <w:vAlign w:val="bottom"/>
            <w:tcBorders>
              <w:bottom w:val="single" w:sz="8" w:color="431C5B"/>
            </w:tcBorders>
            <w:gridSpan w:val="3"/>
            <w:shd w:val="clear" w:color="auto" w:fill="EEFAEC"/>
          </w:tcPr>
          <w:p>
            <w:pPr>
              <w:jc w:val="right"/>
              <w:spacing w:after="0" w:line="183" w:lineRule="exact"/>
              <w:rPr>
                <w:sz w:val="20"/>
                <w:szCs w:val="20"/>
                <w:color w:val="auto"/>
              </w:rPr>
            </w:pPr>
            <w:r>
              <w:rPr>
                <w:rFonts w:ascii="Arial" w:cs="Arial" w:eastAsia="Arial" w:hAnsi="Arial"/>
                <w:sz w:val="13"/>
                <w:szCs w:val="13"/>
                <w:color w:val="auto"/>
              </w:rPr>
              <w:t>2021</w:t>
            </w:r>
            <w:r>
              <w:rPr>
                <w:rFonts w:ascii="Arial" w:cs="Arial" w:eastAsia="Arial" w:hAnsi="Arial"/>
                <w:sz w:val="16"/>
                <w:szCs w:val="16"/>
                <w:color w:val="auto"/>
                <w:vertAlign w:val="superscript"/>
              </w:rPr>
              <w:t>(9)</w:t>
            </w:r>
          </w:p>
        </w:tc>
        <w:tc>
          <w:tcPr>
            <w:tcW w:w="900" w:type="dxa"/>
            <w:vAlign w:val="bottom"/>
            <w:tcBorders>
              <w:bottom w:val="single" w:sz="8" w:color="431C5B"/>
            </w:tcBorders>
            <w:shd w:val="clear" w:color="auto" w:fill="EEFAEC"/>
          </w:tcPr>
          <w:p>
            <w:pPr>
              <w:jc w:val="right"/>
              <w:ind w:right="4"/>
              <w:spacing w:after="0"/>
              <w:rPr>
                <w:sz w:val="20"/>
                <w:szCs w:val="20"/>
                <w:color w:val="auto"/>
              </w:rPr>
            </w:pPr>
            <w:r>
              <w:rPr>
                <w:rFonts w:ascii="Arial" w:cs="Arial" w:eastAsia="Arial" w:hAnsi="Arial"/>
                <w:sz w:val="13"/>
                <w:szCs w:val="13"/>
                <w:color w:val="auto"/>
              </w:rPr>
              <w:t>$25,023,771</w:t>
            </w:r>
          </w:p>
        </w:tc>
        <w:tc>
          <w:tcPr>
            <w:tcW w:w="100" w:type="dxa"/>
            <w:vAlign w:val="bottom"/>
            <w:tcBorders>
              <w:bottom w:val="single" w:sz="8" w:color="431C5B"/>
            </w:tcBorders>
            <w:shd w:val="clear" w:color="auto" w:fill="EEFAEC"/>
          </w:tcPr>
          <w:p>
            <w:pPr>
              <w:spacing w:after="0"/>
              <w:rPr>
                <w:sz w:val="15"/>
                <w:szCs w:val="15"/>
                <w:color w:val="auto"/>
              </w:rPr>
            </w:pPr>
          </w:p>
        </w:tc>
        <w:tc>
          <w:tcPr>
            <w:tcW w:w="60" w:type="dxa"/>
            <w:vAlign w:val="bottom"/>
            <w:tcBorders>
              <w:bottom w:val="single" w:sz="8" w:color="431C5B"/>
            </w:tcBorders>
            <w:shd w:val="clear" w:color="auto" w:fill="EEFAEC"/>
          </w:tcPr>
          <w:p>
            <w:pPr>
              <w:spacing w:after="0"/>
              <w:rPr>
                <w:sz w:val="15"/>
                <w:szCs w:val="15"/>
                <w:color w:val="auto"/>
              </w:rPr>
            </w:pPr>
          </w:p>
        </w:tc>
        <w:tc>
          <w:tcPr>
            <w:tcW w:w="660" w:type="dxa"/>
            <w:vAlign w:val="bottom"/>
            <w:tcBorders>
              <w:bottom w:val="single" w:sz="8" w:color="431C5B"/>
              <w:right w:val="single" w:sz="8" w:color="EEFAEC"/>
            </w:tcBorders>
            <w:shd w:val="clear" w:color="auto" w:fill="EEFAEC"/>
          </w:tcPr>
          <w:p>
            <w:pPr>
              <w:jc w:val="right"/>
              <w:spacing w:after="0"/>
              <w:rPr>
                <w:sz w:val="20"/>
                <w:szCs w:val="20"/>
                <w:color w:val="auto"/>
              </w:rPr>
            </w:pPr>
            <w:r>
              <w:rPr>
                <w:rFonts w:ascii="Arial" w:cs="Arial" w:eastAsia="Arial" w:hAnsi="Arial"/>
                <w:sz w:val="13"/>
                <w:szCs w:val="13"/>
                <w:color w:val="auto"/>
              </w:rPr>
              <w:t>n/a</w:t>
            </w:r>
          </w:p>
        </w:tc>
        <w:tc>
          <w:tcPr>
            <w:tcW w:w="880" w:type="dxa"/>
            <w:vAlign w:val="bottom"/>
            <w:tcBorders>
              <w:bottom w:val="single" w:sz="8" w:color="431C5B"/>
              <w:right w:val="single" w:sz="8" w:color="EEFAEC"/>
            </w:tcBorders>
            <w:gridSpan w:val="2"/>
            <w:shd w:val="clear" w:color="auto" w:fill="EEFAEC"/>
          </w:tcPr>
          <w:p>
            <w:pPr>
              <w:jc w:val="right"/>
              <w:spacing w:after="0"/>
              <w:rPr>
                <w:sz w:val="20"/>
                <w:szCs w:val="20"/>
                <w:color w:val="auto"/>
              </w:rPr>
            </w:pPr>
            <w:r>
              <w:rPr>
                <w:rFonts w:ascii="Arial" w:cs="Arial" w:eastAsia="Arial" w:hAnsi="Arial"/>
                <w:sz w:val="13"/>
                <w:szCs w:val="13"/>
                <w:color w:val="auto"/>
              </w:rPr>
              <w:t>$  (110,502)</w:t>
            </w:r>
          </w:p>
        </w:tc>
        <w:tc>
          <w:tcPr>
            <w:tcW w:w="100" w:type="dxa"/>
            <w:vAlign w:val="bottom"/>
            <w:tcBorders>
              <w:bottom w:val="single" w:sz="8" w:color="431C5B"/>
            </w:tcBorders>
            <w:shd w:val="clear" w:color="auto" w:fill="EEFAEC"/>
          </w:tcPr>
          <w:p>
            <w:pPr>
              <w:spacing w:after="0"/>
              <w:rPr>
                <w:sz w:val="15"/>
                <w:szCs w:val="15"/>
                <w:color w:val="auto"/>
              </w:rPr>
            </w:pPr>
          </w:p>
        </w:tc>
        <w:tc>
          <w:tcPr>
            <w:tcW w:w="60" w:type="dxa"/>
            <w:vAlign w:val="bottom"/>
            <w:tcBorders>
              <w:bottom w:val="single" w:sz="8" w:color="431C5B"/>
            </w:tcBorders>
            <w:shd w:val="clear" w:color="auto" w:fill="EEFAEC"/>
          </w:tcPr>
          <w:p>
            <w:pPr>
              <w:spacing w:after="0"/>
              <w:rPr>
                <w:sz w:val="15"/>
                <w:szCs w:val="15"/>
                <w:color w:val="auto"/>
              </w:rPr>
            </w:pPr>
          </w:p>
        </w:tc>
        <w:tc>
          <w:tcPr>
            <w:tcW w:w="660" w:type="dxa"/>
            <w:vAlign w:val="bottom"/>
            <w:tcBorders>
              <w:bottom w:val="single" w:sz="8" w:color="431C5B"/>
              <w:right w:val="single" w:sz="8" w:color="EEFAEC"/>
            </w:tcBorders>
            <w:shd w:val="clear" w:color="auto" w:fill="EEFAEC"/>
          </w:tcPr>
          <w:p>
            <w:pPr>
              <w:jc w:val="right"/>
              <w:spacing w:after="0"/>
              <w:rPr>
                <w:sz w:val="20"/>
                <w:szCs w:val="20"/>
                <w:color w:val="auto"/>
              </w:rPr>
            </w:pPr>
            <w:r>
              <w:rPr>
                <w:rFonts w:ascii="Arial" w:cs="Arial" w:eastAsia="Arial" w:hAnsi="Arial"/>
                <w:sz w:val="13"/>
                <w:szCs w:val="13"/>
                <w:color w:val="auto"/>
              </w:rPr>
              <w:t>n/a</w:t>
            </w:r>
          </w:p>
        </w:tc>
        <w:tc>
          <w:tcPr>
            <w:tcW w:w="240" w:type="dxa"/>
            <w:vAlign w:val="bottom"/>
            <w:tcBorders>
              <w:bottom w:val="single" w:sz="8" w:color="431C5B"/>
            </w:tcBorders>
            <w:gridSpan w:val="2"/>
            <w:shd w:val="clear" w:color="auto" w:fill="EEFAE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31C5B"/>
              <w:right w:val="single" w:sz="8" w:color="EEFAEC"/>
            </w:tcBorders>
            <w:gridSpan w:val="2"/>
            <w:shd w:val="clear" w:color="auto" w:fill="EEFAEC"/>
          </w:tcPr>
          <w:p>
            <w:pPr>
              <w:jc w:val="right"/>
              <w:spacing w:after="0"/>
              <w:rPr>
                <w:sz w:val="20"/>
                <w:szCs w:val="20"/>
                <w:color w:val="auto"/>
              </w:rPr>
            </w:pPr>
            <w:r>
              <w:rPr>
                <w:rFonts w:ascii="Arial" w:cs="Arial" w:eastAsia="Arial" w:hAnsi="Arial"/>
                <w:sz w:val="13"/>
                <w:szCs w:val="13"/>
                <w:color w:val="auto"/>
                <w:w w:val="95"/>
              </w:rPr>
              <w:t>10,257,289</w:t>
            </w:r>
          </w:p>
        </w:tc>
        <w:tc>
          <w:tcPr>
            <w:tcW w:w="200" w:type="dxa"/>
            <w:vAlign w:val="bottom"/>
            <w:tcBorders>
              <w:bottom w:val="single" w:sz="8" w:color="431C5B"/>
            </w:tcBorders>
            <w:gridSpan w:val="2"/>
            <w:shd w:val="clear" w:color="auto" w:fill="EEFAE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431C5B"/>
              <w:right w:val="single" w:sz="8" w:color="EEFAEC"/>
            </w:tcBorders>
            <w:gridSpan w:val="2"/>
            <w:shd w:val="clear" w:color="auto" w:fill="EEFAEC"/>
          </w:tcPr>
          <w:p>
            <w:pPr>
              <w:jc w:val="right"/>
              <w:spacing w:after="0"/>
              <w:rPr>
                <w:sz w:val="20"/>
                <w:szCs w:val="20"/>
                <w:color w:val="auto"/>
              </w:rPr>
            </w:pPr>
            <w:r>
              <w:rPr>
                <w:rFonts w:ascii="Arial" w:cs="Arial" w:eastAsia="Arial" w:hAnsi="Arial"/>
                <w:sz w:val="13"/>
                <w:szCs w:val="13"/>
                <w:color w:val="auto"/>
              </w:rPr>
              <w:t>2,697,249</w:t>
            </w:r>
          </w:p>
        </w:tc>
        <w:tc>
          <w:tcPr>
            <w:tcW w:w="740" w:type="dxa"/>
            <w:vAlign w:val="bottom"/>
            <w:tcBorders>
              <w:bottom w:val="single" w:sz="8" w:color="431C5B"/>
              <w:right w:val="single" w:sz="8" w:color="EEFAEC"/>
            </w:tcBorders>
            <w:gridSpan w:val="4"/>
            <w:shd w:val="clear" w:color="auto" w:fill="EEFAEC"/>
          </w:tcPr>
          <w:p>
            <w:pPr>
              <w:jc w:val="right"/>
              <w:spacing w:after="0"/>
              <w:rPr>
                <w:sz w:val="20"/>
                <w:szCs w:val="20"/>
                <w:color w:val="auto"/>
              </w:rPr>
            </w:pPr>
            <w:r>
              <w:rPr>
                <w:rFonts w:ascii="Arial" w:cs="Arial" w:eastAsia="Arial" w:hAnsi="Arial"/>
                <w:sz w:val="13"/>
                <w:szCs w:val="13"/>
                <w:color w:val="auto"/>
              </w:rPr>
              <w:t>$ 78.10</w:t>
            </w:r>
          </w:p>
        </w:tc>
        <w:tc>
          <w:tcPr>
            <w:tcW w:w="140" w:type="dxa"/>
            <w:vAlign w:val="bottom"/>
            <w:tcBorders>
              <w:bottom w:val="single" w:sz="8" w:color="431C5B"/>
            </w:tcBorders>
            <w:shd w:val="clear" w:color="auto" w:fill="EEFAEC"/>
          </w:tcPr>
          <w:p>
            <w:pPr>
              <w:spacing w:after="0"/>
              <w:rPr>
                <w:sz w:val="15"/>
                <w:szCs w:val="15"/>
                <w:color w:val="auto"/>
              </w:rPr>
            </w:pPr>
          </w:p>
        </w:tc>
        <w:tc>
          <w:tcPr>
            <w:tcW w:w="200" w:type="dxa"/>
            <w:vAlign w:val="bottom"/>
            <w:tcBorders>
              <w:bottom w:val="single" w:sz="8" w:color="431C5B"/>
            </w:tcBorders>
            <w:gridSpan w:val="2"/>
            <w:shd w:val="clear" w:color="auto" w:fill="EEFAEC"/>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431C5B"/>
              <w:right w:val="single" w:sz="8" w:color="EEFAEC"/>
            </w:tcBorders>
            <w:shd w:val="clear" w:color="auto" w:fill="EEFAEC"/>
          </w:tcPr>
          <w:p>
            <w:pPr>
              <w:jc w:val="right"/>
              <w:ind w:right="6"/>
              <w:spacing w:after="0"/>
              <w:rPr>
                <w:sz w:val="20"/>
                <w:szCs w:val="20"/>
                <w:color w:val="auto"/>
              </w:rPr>
            </w:pPr>
            <w:r>
              <w:rPr>
                <w:rFonts w:ascii="Arial" w:cs="Arial" w:eastAsia="Arial" w:hAnsi="Arial"/>
                <w:sz w:val="13"/>
                <w:szCs w:val="13"/>
                <w:color w:val="auto"/>
              </w:rPr>
              <w:t>96.46</w:t>
            </w:r>
          </w:p>
        </w:tc>
        <w:tc>
          <w:tcPr>
            <w:tcW w:w="340" w:type="dxa"/>
            <w:vAlign w:val="bottom"/>
            <w:tcBorders>
              <w:bottom w:val="single" w:sz="8" w:color="431C5B"/>
            </w:tcBorders>
            <w:gridSpan w:val="2"/>
            <w:shd w:val="clear" w:color="auto" w:fill="EEFAEC"/>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31C5B"/>
              <w:right w:val="single" w:sz="8" w:color="EEFAEC"/>
            </w:tcBorders>
            <w:gridSpan w:val="2"/>
            <w:shd w:val="clear" w:color="auto" w:fill="EEFAEC"/>
          </w:tcPr>
          <w:p>
            <w:pPr>
              <w:jc w:val="right"/>
              <w:ind w:right="63"/>
              <w:spacing w:after="0"/>
              <w:rPr>
                <w:sz w:val="20"/>
                <w:szCs w:val="20"/>
                <w:color w:val="auto"/>
              </w:rPr>
            </w:pPr>
            <w:r>
              <w:rPr>
                <w:rFonts w:ascii="Arial" w:cs="Arial" w:eastAsia="Arial" w:hAnsi="Arial"/>
                <w:sz w:val="13"/>
                <w:szCs w:val="13"/>
                <w:color w:val="auto"/>
              </w:rPr>
              <w:t>417</w:t>
            </w:r>
          </w:p>
        </w:tc>
        <w:tc>
          <w:tcPr>
            <w:tcW w:w="700" w:type="dxa"/>
            <w:vAlign w:val="bottom"/>
            <w:tcBorders>
              <w:bottom w:val="single" w:sz="8" w:color="431C5B"/>
              <w:right w:val="single" w:sz="8" w:color="EEFAEC"/>
            </w:tcBorders>
            <w:gridSpan w:val="3"/>
            <w:shd w:val="clear" w:color="auto" w:fill="EEFAEC"/>
          </w:tcPr>
          <w:p>
            <w:pPr>
              <w:jc w:val="right"/>
              <w:ind w:right="10"/>
              <w:spacing w:after="0"/>
              <w:rPr>
                <w:sz w:val="20"/>
                <w:szCs w:val="20"/>
                <w:color w:val="auto"/>
              </w:rPr>
            </w:pPr>
            <w:r>
              <w:rPr>
                <w:rFonts w:ascii="Arial" w:cs="Arial" w:eastAsia="Arial" w:hAnsi="Arial"/>
                <w:sz w:val="13"/>
                <w:szCs w:val="13"/>
                <w:color w:val="auto"/>
              </w:rPr>
              <w:t>$13,843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80" w:hanging="250"/>
        <w:spacing w:after="0"/>
        <w:tabs>
          <w:tab w:leader="none" w:pos="380" w:val="left"/>
        </w:tabs>
        <w:numPr>
          <w:ilvl w:val="0"/>
          <w:numId w:val="117"/>
        </w:numPr>
        <w:rPr>
          <w:rFonts w:ascii="Arial" w:cs="Arial" w:eastAsia="Arial" w:hAnsi="Arial"/>
          <w:sz w:val="16"/>
          <w:szCs w:val="16"/>
          <w:color w:val="auto"/>
          <w:vertAlign w:val="superscript"/>
        </w:rPr>
      </w:pPr>
      <w:r>
        <w:rPr>
          <w:rFonts w:ascii="Arial" w:cs="Arial" w:eastAsia="Arial" w:hAnsi="Arial"/>
          <w:sz w:val="13"/>
          <w:szCs w:val="13"/>
          <w:color w:val="auto"/>
        </w:rPr>
        <w:t>Gary A. Norcross departed the Company as CEO effective December 16, 2022.</w:t>
      </w:r>
    </w:p>
    <w:p>
      <w:pPr>
        <w:spacing w:after="0" w:line="50" w:lineRule="exact"/>
        <w:rPr>
          <w:rFonts w:ascii="Arial" w:cs="Arial" w:eastAsia="Arial" w:hAnsi="Arial"/>
          <w:sz w:val="16"/>
          <w:szCs w:val="16"/>
          <w:color w:val="auto"/>
          <w:vertAlign w:val="superscript"/>
        </w:rPr>
      </w:pPr>
    </w:p>
    <w:p>
      <w:pPr>
        <w:ind w:left="380" w:right="399" w:hanging="250"/>
        <w:spacing w:after="0" w:line="236" w:lineRule="auto"/>
        <w:tabs>
          <w:tab w:leader="none" w:pos="380" w:val="left"/>
        </w:tabs>
        <w:numPr>
          <w:ilvl w:val="0"/>
          <w:numId w:val="117"/>
        </w:numPr>
        <w:rPr>
          <w:rFonts w:ascii="Arial" w:cs="Arial" w:eastAsia="Arial" w:hAnsi="Arial"/>
          <w:sz w:val="16"/>
          <w:szCs w:val="16"/>
          <w:color w:val="auto"/>
          <w:vertAlign w:val="superscript"/>
        </w:rPr>
      </w:pPr>
      <w:r>
        <w:rPr>
          <w:rFonts w:ascii="Arial" w:cs="Arial" w:eastAsia="Arial" w:hAnsi="Arial"/>
          <w:sz w:val="13"/>
          <w:szCs w:val="13"/>
          <w:color w:val="auto"/>
        </w:rPr>
        <w:t>Reflects compensation amounts reported in the 2025, 2024, 2023 and 2022 Summary Compensation Table for Ms. Ferris, our current CEO effective December 16, 2022.</w:t>
      </w:r>
    </w:p>
    <w:p>
      <w:pPr>
        <w:spacing w:after="0" w:line="50" w:lineRule="exact"/>
        <w:rPr>
          <w:rFonts w:ascii="Arial" w:cs="Arial" w:eastAsia="Arial" w:hAnsi="Arial"/>
          <w:sz w:val="16"/>
          <w:szCs w:val="16"/>
          <w:color w:val="auto"/>
          <w:vertAlign w:val="superscript"/>
        </w:rPr>
      </w:pPr>
    </w:p>
    <w:p>
      <w:pPr>
        <w:ind w:left="380" w:right="379" w:hanging="250"/>
        <w:spacing w:after="0" w:line="236" w:lineRule="auto"/>
        <w:tabs>
          <w:tab w:leader="none" w:pos="380" w:val="left"/>
        </w:tabs>
        <w:numPr>
          <w:ilvl w:val="0"/>
          <w:numId w:val="117"/>
        </w:numPr>
        <w:rPr>
          <w:rFonts w:ascii="Arial" w:cs="Arial" w:eastAsia="Arial" w:hAnsi="Arial"/>
          <w:sz w:val="16"/>
          <w:szCs w:val="16"/>
          <w:color w:val="auto"/>
          <w:vertAlign w:val="superscript"/>
        </w:rPr>
      </w:pPr>
      <w:r>
        <w:rPr>
          <w:rFonts w:ascii="Arial" w:cs="Arial" w:eastAsia="Arial" w:hAnsi="Arial"/>
          <w:sz w:val="13"/>
          <w:szCs w:val="13"/>
          <w:color w:val="auto"/>
        </w:rPr>
        <w:t>“Compensation Actually Paid” to Mr. Norcross in each of 2022 and 2021 reflects the respective amounts set forth in column (b)(1) of the table above, adjusted as set forth in the table below as determined in accordance with the applicable SEC rules.</w:t>
      </w:r>
    </w:p>
    <w:p>
      <w:pPr>
        <w:spacing w:after="0" w:line="63" w:lineRule="exact"/>
        <w:rPr>
          <w:rFonts w:ascii="Arial" w:cs="Arial" w:eastAsia="Arial" w:hAnsi="Arial"/>
          <w:sz w:val="16"/>
          <w:szCs w:val="16"/>
          <w:color w:val="auto"/>
          <w:vertAlign w:val="superscript"/>
        </w:rPr>
      </w:pPr>
    </w:p>
    <w:p>
      <w:pPr>
        <w:ind w:left="380" w:right="239" w:hanging="250"/>
        <w:spacing w:after="0" w:line="236" w:lineRule="auto"/>
        <w:tabs>
          <w:tab w:leader="none" w:pos="380" w:val="left"/>
        </w:tabs>
        <w:numPr>
          <w:ilvl w:val="0"/>
          <w:numId w:val="117"/>
        </w:numPr>
        <w:rPr>
          <w:rFonts w:ascii="Arial" w:cs="Arial" w:eastAsia="Arial" w:hAnsi="Arial"/>
          <w:sz w:val="16"/>
          <w:szCs w:val="16"/>
          <w:color w:val="auto"/>
          <w:vertAlign w:val="superscript"/>
        </w:rPr>
      </w:pPr>
      <w:r>
        <w:rPr>
          <w:rFonts w:ascii="Arial" w:cs="Arial" w:eastAsia="Arial" w:hAnsi="Arial"/>
          <w:sz w:val="13"/>
          <w:szCs w:val="13"/>
          <w:color w:val="auto"/>
        </w:rPr>
        <w:t>“Compensation Actually Paid” to Ms. Ferris in each of 2025, 2024, 2023 and 2022 reflects the respective amounts set forth in column (b)(2) of the table above, adjusted as set forth in the table below as determined in accordance with the applicable SEC rules.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20" w:hanging="429"/>
        <w:spacing w:after="0"/>
        <w:tabs>
          <w:tab w:leader="none" w:pos="620" w:val="left"/>
        </w:tabs>
        <w:numPr>
          <w:ilvl w:val="0"/>
          <w:numId w:val="118"/>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85" w:name="page86"/>
    <w:bookmarkEnd w:id="85"/>
    <w:p>
      <w:pPr>
        <w:ind w:left="716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200" w:lineRule="exact"/>
        <w:rPr>
          <w:sz w:val="20"/>
          <w:szCs w:val="20"/>
          <w:color w:val="auto"/>
        </w:rPr>
      </w:pPr>
    </w:p>
    <w:p>
      <w:pPr>
        <w:spacing w:after="0" w:line="278"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3220" w:type="dxa"/>
            <w:vAlign w:val="bottom"/>
            <w:tcBorders>
              <w:bottom w:val="single" w:sz="8" w:color="431C5B"/>
            </w:tcBorders>
          </w:tcPr>
          <w:p>
            <w:pPr>
              <w:ind w:left="60"/>
              <w:spacing w:after="0"/>
              <w:rPr>
                <w:sz w:val="20"/>
                <w:szCs w:val="20"/>
                <w:color w:val="auto"/>
              </w:rPr>
            </w:pPr>
            <w:r>
              <w:rPr>
                <w:rFonts w:ascii="Arial" w:cs="Arial" w:eastAsia="Arial" w:hAnsi="Arial"/>
                <w:sz w:val="13"/>
                <w:szCs w:val="13"/>
                <w:b w:val="1"/>
                <w:bCs w:val="1"/>
                <w:color w:val="431C5B"/>
              </w:rPr>
              <w:t>Year</w:t>
            </w:r>
          </w:p>
        </w:tc>
        <w:tc>
          <w:tcPr>
            <w:tcW w:w="920" w:type="dxa"/>
            <w:vAlign w:val="bottom"/>
            <w:tcBorders>
              <w:bottom w:val="single" w:sz="8" w:color="431C5B"/>
            </w:tcBorders>
          </w:tcPr>
          <w:p>
            <w:pPr>
              <w:jc w:val="right"/>
              <w:ind w:right="10"/>
              <w:spacing w:after="0"/>
              <w:rPr>
                <w:sz w:val="20"/>
                <w:szCs w:val="20"/>
                <w:color w:val="auto"/>
              </w:rPr>
            </w:pPr>
            <w:r>
              <w:rPr>
                <w:rFonts w:ascii="Arial" w:cs="Arial" w:eastAsia="Arial" w:hAnsi="Arial"/>
                <w:sz w:val="13"/>
                <w:szCs w:val="13"/>
                <w:b w:val="1"/>
                <w:bCs w:val="1"/>
                <w:color w:val="431C5B"/>
              </w:rPr>
              <w:t>2021</w:t>
            </w:r>
          </w:p>
        </w:tc>
        <w:tc>
          <w:tcPr>
            <w:tcW w:w="880" w:type="dxa"/>
            <w:vAlign w:val="bottom"/>
            <w:tcBorders>
              <w:bottom w:val="single" w:sz="8" w:color="431C5B"/>
            </w:tcBorders>
          </w:tcPr>
          <w:p>
            <w:pPr>
              <w:jc w:val="right"/>
              <w:ind w:right="30"/>
              <w:spacing w:after="0"/>
              <w:rPr>
                <w:sz w:val="20"/>
                <w:szCs w:val="20"/>
                <w:color w:val="auto"/>
              </w:rPr>
            </w:pPr>
            <w:r>
              <w:rPr>
                <w:rFonts w:ascii="Arial" w:cs="Arial" w:eastAsia="Arial" w:hAnsi="Arial"/>
                <w:sz w:val="13"/>
                <w:szCs w:val="13"/>
                <w:b w:val="1"/>
                <w:bCs w:val="1"/>
                <w:color w:val="431C5B"/>
              </w:rPr>
              <w:t>2022</w:t>
            </w:r>
          </w:p>
        </w:tc>
        <w:tc>
          <w:tcPr>
            <w:tcW w:w="920" w:type="dxa"/>
            <w:vAlign w:val="bottom"/>
            <w:tcBorders>
              <w:bottom w:val="single" w:sz="8" w:color="431C5B"/>
            </w:tcBorders>
          </w:tcPr>
          <w:p>
            <w:pPr>
              <w:jc w:val="right"/>
              <w:ind w:right="30"/>
              <w:spacing w:after="0"/>
              <w:rPr>
                <w:sz w:val="20"/>
                <w:szCs w:val="20"/>
                <w:color w:val="auto"/>
              </w:rPr>
            </w:pPr>
            <w:r>
              <w:rPr>
                <w:rFonts w:ascii="Arial" w:cs="Arial" w:eastAsia="Arial" w:hAnsi="Arial"/>
                <w:sz w:val="13"/>
                <w:szCs w:val="13"/>
                <w:b w:val="1"/>
                <w:bCs w:val="1"/>
                <w:color w:val="431C5B"/>
              </w:rPr>
              <w:t>2022</w:t>
            </w:r>
          </w:p>
        </w:tc>
        <w:tc>
          <w:tcPr>
            <w:tcW w:w="860" w:type="dxa"/>
            <w:vAlign w:val="bottom"/>
            <w:tcBorders>
              <w:bottom w:val="single" w:sz="8" w:color="431C5B"/>
            </w:tcBorders>
          </w:tcPr>
          <w:p>
            <w:pPr>
              <w:jc w:val="right"/>
              <w:ind w:right="10"/>
              <w:spacing w:after="0"/>
              <w:rPr>
                <w:sz w:val="20"/>
                <w:szCs w:val="20"/>
                <w:color w:val="auto"/>
              </w:rPr>
            </w:pPr>
            <w:r>
              <w:rPr>
                <w:rFonts w:ascii="Arial" w:cs="Arial" w:eastAsia="Arial" w:hAnsi="Arial"/>
                <w:sz w:val="13"/>
                <w:szCs w:val="13"/>
                <w:b w:val="1"/>
                <w:bCs w:val="1"/>
                <w:color w:val="431C5B"/>
              </w:rPr>
              <w:t>2023</w:t>
            </w:r>
          </w:p>
        </w:tc>
        <w:tc>
          <w:tcPr>
            <w:tcW w:w="84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2024</w:t>
            </w:r>
          </w:p>
        </w:tc>
        <w:tc>
          <w:tcPr>
            <w:tcW w:w="84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2025</w:t>
            </w:r>
          </w:p>
        </w:tc>
      </w:tr>
      <w:tr>
        <w:trPr>
          <w:trHeight w:val="165"/>
        </w:trPr>
        <w:tc>
          <w:tcPr>
            <w:tcW w:w="3220" w:type="dxa"/>
            <w:vAlign w:val="bottom"/>
          </w:tcPr>
          <w:p>
            <w:pPr>
              <w:spacing w:after="0"/>
              <w:rPr>
                <w:sz w:val="14"/>
                <w:szCs w:val="14"/>
                <w:color w:val="auto"/>
              </w:rPr>
            </w:pPr>
          </w:p>
        </w:tc>
        <w:tc>
          <w:tcPr>
            <w:tcW w:w="920" w:type="dxa"/>
            <w:vAlign w:val="bottom"/>
          </w:tcPr>
          <w:p>
            <w:pPr>
              <w:jc w:val="right"/>
              <w:ind w:right="10"/>
              <w:spacing w:after="0"/>
              <w:rPr>
                <w:sz w:val="20"/>
                <w:szCs w:val="20"/>
                <w:color w:val="auto"/>
              </w:rPr>
            </w:pPr>
            <w:r>
              <w:rPr>
                <w:rFonts w:ascii="Arial" w:cs="Arial" w:eastAsia="Arial" w:hAnsi="Arial"/>
                <w:sz w:val="13"/>
                <w:szCs w:val="13"/>
                <w:b w:val="1"/>
                <w:bCs w:val="1"/>
                <w:color w:val="431C5B"/>
              </w:rPr>
              <w:t>Gary A.</w:t>
            </w:r>
          </w:p>
        </w:tc>
        <w:tc>
          <w:tcPr>
            <w:tcW w:w="880" w:type="dxa"/>
            <w:vAlign w:val="bottom"/>
          </w:tcPr>
          <w:p>
            <w:pPr>
              <w:jc w:val="right"/>
              <w:ind w:right="10"/>
              <w:spacing w:after="0"/>
              <w:rPr>
                <w:sz w:val="20"/>
                <w:szCs w:val="20"/>
                <w:color w:val="auto"/>
              </w:rPr>
            </w:pPr>
            <w:r>
              <w:rPr>
                <w:rFonts w:ascii="Arial" w:cs="Arial" w:eastAsia="Arial" w:hAnsi="Arial"/>
                <w:sz w:val="13"/>
                <w:szCs w:val="13"/>
                <w:b w:val="1"/>
                <w:bCs w:val="1"/>
                <w:color w:val="431C5B"/>
              </w:rPr>
              <w:t>Gary A.</w:t>
            </w:r>
          </w:p>
        </w:tc>
        <w:tc>
          <w:tcPr>
            <w:tcW w:w="920" w:type="dxa"/>
            <w:vAlign w:val="bottom"/>
          </w:tcPr>
          <w:p>
            <w:pPr>
              <w:jc w:val="right"/>
              <w:ind w:right="30"/>
              <w:spacing w:after="0"/>
              <w:rPr>
                <w:sz w:val="20"/>
                <w:szCs w:val="20"/>
                <w:color w:val="auto"/>
              </w:rPr>
            </w:pPr>
            <w:r>
              <w:rPr>
                <w:rFonts w:ascii="Arial" w:cs="Arial" w:eastAsia="Arial" w:hAnsi="Arial"/>
                <w:sz w:val="13"/>
                <w:szCs w:val="13"/>
                <w:b w:val="1"/>
                <w:bCs w:val="1"/>
                <w:color w:val="431C5B"/>
              </w:rPr>
              <w:t>Stephanie</w:t>
            </w:r>
          </w:p>
        </w:tc>
        <w:tc>
          <w:tcPr>
            <w:tcW w:w="860" w:type="dxa"/>
            <w:vAlign w:val="bottom"/>
          </w:tcPr>
          <w:p>
            <w:pPr>
              <w:jc w:val="right"/>
              <w:ind w:right="10"/>
              <w:spacing w:after="0"/>
              <w:rPr>
                <w:sz w:val="20"/>
                <w:szCs w:val="20"/>
                <w:color w:val="auto"/>
              </w:rPr>
            </w:pPr>
            <w:r>
              <w:rPr>
                <w:rFonts w:ascii="Arial" w:cs="Arial" w:eastAsia="Arial" w:hAnsi="Arial"/>
                <w:sz w:val="13"/>
                <w:szCs w:val="13"/>
                <w:b w:val="1"/>
                <w:bCs w:val="1"/>
                <w:color w:val="431C5B"/>
              </w:rPr>
              <w:t>Stephanie</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431C5B"/>
              </w:rPr>
              <w:t>Stephanie</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431C5B"/>
              </w:rPr>
              <w:t>Stephanie L.</w:t>
            </w:r>
          </w:p>
        </w:tc>
      </w:tr>
      <w:tr>
        <w:trPr>
          <w:trHeight w:val="176"/>
        </w:trPr>
        <w:tc>
          <w:tcPr>
            <w:tcW w:w="3220" w:type="dxa"/>
            <w:vAlign w:val="bottom"/>
            <w:tcBorders>
              <w:bottom w:val="single" w:sz="8" w:color="431C5B"/>
            </w:tcBorders>
          </w:tcPr>
          <w:p>
            <w:pPr>
              <w:ind w:left="60"/>
              <w:spacing w:after="0"/>
              <w:rPr>
                <w:sz w:val="20"/>
                <w:szCs w:val="20"/>
                <w:color w:val="auto"/>
              </w:rPr>
            </w:pPr>
            <w:r>
              <w:rPr>
                <w:rFonts w:ascii="Arial" w:cs="Arial" w:eastAsia="Arial" w:hAnsi="Arial"/>
                <w:sz w:val="13"/>
                <w:szCs w:val="13"/>
                <w:b w:val="1"/>
                <w:bCs w:val="1"/>
                <w:color w:val="431C5B"/>
              </w:rPr>
              <w:t>PEO</w:t>
            </w:r>
          </w:p>
        </w:tc>
        <w:tc>
          <w:tcPr>
            <w:tcW w:w="920" w:type="dxa"/>
            <w:vAlign w:val="bottom"/>
            <w:tcBorders>
              <w:bottom w:val="single" w:sz="8" w:color="431C5B"/>
            </w:tcBorders>
          </w:tcPr>
          <w:p>
            <w:pPr>
              <w:jc w:val="right"/>
              <w:ind w:right="10"/>
              <w:spacing w:after="0"/>
              <w:rPr>
                <w:sz w:val="20"/>
                <w:szCs w:val="20"/>
                <w:color w:val="auto"/>
              </w:rPr>
            </w:pPr>
            <w:r>
              <w:rPr>
                <w:rFonts w:ascii="Arial" w:cs="Arial" w:eastAsia="Arial" w:hAnsi="Arial"/>
                <w:sz w:val="13"/>
                <w:szCs w:val="13"/>
                <w:b w:val="1"/>
                <w:bCs w:val="1"/>
                <w:color w:val="431C5B"/>
              </w:rPr>
              <w:t>Norcross</w:t>
            </w:r>
          </w:p>
        </w:tc>
        <w:tc>
          <w:tcPr>
            <w:tcW w:w="880" w:type="dxa"/>
            <w:vAlign w:val="bottom"/>
            <w:tcBorders>
              <w:bottom w:val="single" w:sz="8" w:color="431C5B"/>
            </w:tcBorders>
          </w:tcPr>
          <w:p>
            <w:pPr>
              <w:jc w:val="right"/>
              <w:ind w:right="30"/>
              <w:spacing w:after="0"/>
              <w:rPr>
                <w:sz w:val="20"/>
                <w:szCs w:val="20"/>
                <w:color w:val="auto"/>
              </w:rPr>
            </w:pPr>
            <w:r>
              <w:rPr>
                <w:rFonts w:ascii="Arial" w:cs="Arial" w:eastAsia="Arial" w:hAnsi="Arial"/>
                <w:sz w:val="13"/>
                <w:szCs w:val="13"/>
                <w:b w:val="1"/>
                <w:bCs w:val="1"/>
                <w:color w:val="431C5B"/>
              </w:rPr>
              <w:t>Norcross</w:t>
            </w:r>
          </w:p>
        </w:tc>
        <w:tc>
          <w:tcPr>
            <w:tcW w:w="920" w:type="dxa"/>
            <w:vAlign w:val="bottom"/>
            <w:tcBorders>
              <w:bottom w:val="single" w:sz="8" w:color="431C5B"/>
            </w:tcBorders>
          </w:tcPr>
          <w:p>
            <w:pPr>
              <w:jc w:val="right"/>
              <w:ind w:right="30"/>
              <w:spacing w:after="0"/>
              <w:rPr>
                <w:sz w:val="20"/>
                <w:szCs w:val="20"/>
                <w:color w:val="auto"/>
              </w:rPr>
            </w:pPr>
            <w:r>
              <w:rPr>
                <w:rFonts w:ascii="Arial" w:cs="Arial" w:eastAsia="Arial" w:hAnsi="Arial"/>
                <w:sz w:val="13"/>
                <w:szCs w:val="13"/>
                <w:b w:val="1"/>
                <w:bCs w:val="1"/>
                <w:color w:val="431C5B"/>
              </w:rPr>
              <w:t>L. Ferris</w:t>
            </w:r>
          </w:p>
        </w:tc>
        <w:tc>
          <w:tcPr>
            <w:tcW w:w="860" w:type="dxa"/>
            <w:vAlign w:val="bottom"/>
            <w:tcBorders>
              <w:bottom w:val="single" w:sz="8" w:color="431C5B"/>
            </w:tcBorders>
          </w:tcPr>
          <w:p>
            <w:pPr>
              <w:jc w:val="right"/>
              <w:ind w:right="10"/>
              <w:spacing w:after="0"/>
              <w:rPr>
                <w:sz w:val="20"/>
                <w:szCs w:val="20"/>
                <w:color w:val="auto"/>
              </w:rPr>
            </w:pPr>
            <w:r>
              <w:rPr>
                <w:rFonts w:ascii="Arial" w:cs="Arial" w:eastAsia="Arial" w:hAnsi="Arial"/>
                <w:sz w:val="13"/>
                <w:szCs w:val="13"/>
                <w:b w:val="1"/>
                <w:bCs w:val="1"/>
                <w:color w:val="431C5B"/>
              </w:rPr>
              <w:t>L. Ferris</w:t>
            </w:r>
          </w:p>
        </w:tc>
        <w:tc>
          <w:tcPr>
            <w:tcW w:w="84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L. Ferris</w:t>
            </w:r>
          </w:p>
        </w:tc>
        <w:tc>
          <w:tcPr>
            <w:tcW w:w="84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Ferris</w:t>
            </w:r>
          </w:p>
        </w:tc>
      </w:tr>
      <w:tr>
        <w:trPr>
          <w:trHeight w:val="200"/>
        </w:trPr>
        <w:tc>
          <w:tcPr>
            <w:tcW w:w="3220" w:type="dxa"/>
            <w:vAlign w:val="bottom"/>
            <w:tcBorders>
              <w:bottom w:val="single" w:sz="8" w:color="E6E6E6"/>
            </w:tcBorders>
            <w:shd w:val="clear" w:color="auto" w:fill="EEFAEC"/>
          </w:tcPr>
          <w:p>
            <w:pPr>
              <w:ind w:left="60"/>
              <w:spacing w:after="0"/>
              <w:rPr>
                <w:sz w:val="20"/>
                <w:szCs w:val="20"/>
                <w:color w:val="auto"/>
              </w:rPr>
            </w:pPr>
            <w:r>
              <w:rPr>
                <w:rFonts w:ascii="Arial" w:cs="Arial" w:eastAsia="Arial" w:hAnsi="Arial"/>
                <w:sz w:val="14"/>
                <w:szCs w:val="14"/>
                <w:color w:val="auto"/>
              </w:rPr>
              <w:t>Summary Compensation Table (SCT) Total ($)</w:t>
            </w:r>
          </w:p>
        </w:tc>
        <w:tc>
          <w:tcPr>
            <w:tcW w:w="920" w:type="dxa"/>
            <w:vAlign w:val="bottom"/>
            <w:tcBorders>
              <w:bottom w:val="single" w:sz="8" w:color="E6E6E6"/>
            </w:tcBorders>
            <w:shd w:val="clear" w:color="auto" w:fill="EEFAEC"/>
          </w:tcPr>
          <w:p>
            <w:pPr>
              <w:jc w:val="right"/>
              <w:ind w:right="30"/>
              <w:spacing w:after="0"/>
              <w:rPr>
                <w:sz w:val="20"/>
                <w:szCs w:val="20"/>
                <w:color w:val="auto"/>
              </w:rPr>
            </w:pPr>
            <w:r>
              <w:rPr>
                <w:rFonts w:ascii="Arial" w:cs="Arial" w:eastAsia="Arial" w:hAnsi="Arial"/>
                <w:sz w:val="14"/>
                <w:szCs w:val="14"/>
                <w:color w:val="auto"/>
              </w:rPr>
              <w:t>25,023,771</w:t>
            </w:r>
          </w:p>
        </w:tc>
        <w:tc>
          <w:tcPr>
            <w:tcW w:w="880" w:type="dxa"/>
            <w:vAlign w:val="bottom"/>
            <w:tcBorders>
              <w:bottom w:val="single" w:sz="8" w:color="E6E6E6"/>
            </w:tcBorders>
            <w:shd w:val="clear" w:color="auto" w:fill="EEFAEC"/>
          </w:tcPr>
          <w:p>
            <w:pPr>
              <w:jc w:val="right"/>
              <w:ind w:right="30"/>
              <w:spacing w:after="0"/>
              <w:rPr>
                <w:sz w:val="20"/>
                <w:szCs w:val="20"/>
                <w:color w:val="auto"/>
              </w:rPr>
            </w:pPr>
            <w:r>
              <w:rPr>
                <w:rFonts w:ascii="Arial" w:cs="Arial" w:eastAsia="Arial" w:hAnsi="Arial"/>
                <w:sz w:val="14"/>
                <w:szCs w:val="14"/>
                <w:color w:val="auto"/>
              </w:rPr>
              <w:t>45,321,374</w:t>
            </w:r>
          </w:p>
        </w:tc>
        <w:tc>
          <w:tcPr>
            <w:tcW w:w="920" w:type="dxa"/>
            <w:vAlign w:val="bottom"/>
            <w:tcBorders>
              <w:bottom w:val="single" w:sz="8" w:color="E6E6E6"/>
            </w:tcBorders>
            <w:shd w:val="clear" w:color="auto" w:fill="EEFAEC"/>
          </w:tcPr>
          <w:p>
            <w:pPr>
              <w:jc w:val="right"/>
              <w:ind w:right="30"/>
              <w:spacing w:after="0"/>
              <w:rPr>
                <w:sz w:val="20"/>
                <w:szCs w:val="20"/>
                <w:color w:val="auto"/>
              </w:rPr>
            </w:pPr>
            <w:r>
              <w:rPr>
                <w:rFonts w:ascii="Arial" w:cs="Arial" w:eastAsia="Arial" w:hAnsi="Arial"/>
                <w:sz w:val="14"/>
                <w:szCs w:val="14"/>
                <w:color w:val="auto"/>
              </w:rPr>
              <w:t>15,830,864</w:t>
            </w:r>
          </w:p>
        </w:tc>
        <w:tc>
          <w:tcPr>
            <w:tcW w:w="860" w:type="dxa"/>
            <w:vAlign w:val="bottom"/>
            <w:tcBorders>
              <w:bottom w:val="single" w:sz="8" w:color="E6E6E6"/>
            </w:tcBorders>
            <w:shd w:val="clear" w:color="auto" w:fill="EEFAEC"/>
          </w:tcPr>
          <w:p>
            <w:pPr>
              <w:jc w:val="right"/>
              <w:ind w:right="30"/>
              <w:spacing w:after="0"/>
              <w:rPr>
                <w:sz w:val="20"/>
                <w:szCs w:val="20"/>
                <w:color w:val="auto"/>
              </w:rPr>
            </w:pPr>
            <w:r>
              <w:rPr>
                <w:rFonts w:ascii="Arial" w:cs="Arial" w:eastAsia="Arial" w:hAnsi="Arial"/>
                <w:sz w:val="14"/>
                <w:szCs w:val="14"/>
                <w:color w:val="auto"/>
              </w:rPr>
              <w:t>19,433,742</w:t>
            </w:r>
          </w:p>
        </w:tc>
        <w:tc>
          <w:tcPr>
            <w:tcW w:w="840" w:type="dxa"/>
            <w:vAlign w:val="bottom"/>
            <w:tcBorders>
              <w:bottom w:val="single" w:sz="8" w:color="E6E6E6"/>
            </w:tcBorders>
            <w:shd w:val="clear" w:color="auto" w:fill="EEFAEC"/>
          </w:tcPr>
          <w:p>
            <w:pPr>
              <w:jc w:val="right"/>
              <w:ind w:right="10"/>
              <w:spacing w:after="0"/>
              <w:rPr>
                <w:sz w:val="20"/>
                <w:szCs w:val="20"/>
                <w:color w:val="auto"/>
              </w:rPr>
            </w:pPr>
            <w:r>
              <w:rPr>
                <w:rFonts w:ascii="Arial" w:cs="Arial" w:eastAsia="Arial" w:hAnsi="Arial"/>
                <w:sz w:val="14"/>
                <w:szCs w:val="14"/>
                <w:color w:val="auto"/>
              </w:rPr>
              <w:t>21,243,485</w:t>
            </w:r>
          </w:p>
        </w:tc>
        <w:tc>
          <w:tcPr>
            <w:tcW w:w="84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4"/>
                <w:szCs w:val="14"/>
                <w:color w:val="auto"/>
              </w:rPr>
              <w:t>22,928,412</w:t>
            </w:r>
          </w:p>
        </w:tc>
      </w:tr>
      <w:tr>
        <w:trPr>
          <w:trHeight w:val="187"/>
        </w:trPr>
        <w:tc>
          <w:tcPr>
            <w:tcW w:w="3220" w:type="dxa"/>
            <w:vAlign w:val="bottom"/>
          </w:tcPr>
          <w:p>
            <w:pPr>
              <w:ind w:left="60"/>
              <w:spacing w:after="0"/>
              <w:rPr>
                <w:sz w:val="20"/>
                <w:szCs w:val="20"/>
                <w:color w:val="auto"/>
              </w:rPr>
            </w:pPr>
            <w:r>
              <w:rPr>
                <w:rFonts w:ascii="Arial" w:cs="Arial" w:eastAsia="Arial" w:hAnsi="Arial"/>
                <w:sz w:val="14"/>
                <w:szCs w:val="14"/>
                <w:color w:val="auto"/>
              </w:rPr>
              <w:t>Deduct: Amounts Reported under the “Stock</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(14,339,482) (30,599,876)</w:t>
            </w:r>
          </w:p>
        </w:tc>
        <w:tc>
          <w:tcPr>
            <w:tcW w:w="920" w:type="dxa"/>
            <w:vAlign w:val="bottom"/>
          </w:tcPr>
          <w:p>
            <w:pPr>
              <w:jc w:val="right"/>
              <w:spacing w:after="0"/>
              <w:rPr>
                <w:sz w:val="20"/>
                <w:szCs w:val="20"/>
                <w:color w:val="auto"/>
              </w:rPr>
            </w:pPr>
            <w:r>
              <w:rPr>
                <w:rFonts w:ascii="Arial" w:cs="Arial" w:eastAsia="Arial" w:hAnsi="Arial"/>
                <w:sz w:val="14"/>
                <w:szCs w:val="14"/>
                <w:color w:val="auto"/>
              </w:rPr>
              <w:t>(12,922,017)</w:t>
            </w:r>
          </w:p>
        </w:tc>
        <w:tc>
          <w:tcPr>
            <w:tcW w:w="2540" w:type="dxa"/>
            <w:vAlign w:val="bottom"/>
            <w:gridSpan w:val="3"/>
          </w:tcPr>
          <w:p>
            <w:pPr>
              <w:jc w:val="right"/>
              <w:spacing w:after="0"/>
              <w:rPr>
                <w:sz w:val="20"/>
                <w:szCs w:val="20"/>
                <w:color w:val="auto"/>
              </w:rPr>
            </w:pPr>
            <w:r>
              <w:rPr>
                <w:rFonts w:ascii="Arial" w:cs="Arial" w:eastAsia="Arial" w:hAnsi="Arial"/>
                <w:sz w:val="14"/>
                <w:szCs w:val="14"/>
                <w:color w:val="auto"/>
              </w:rPr>
              <w:t>(9,005,347) (17,571,281) (18,741,367)</w:t>
            </w:r>
          </w:p>
        </w:tc>
      </w:tr>
      <w:tr>
        <w:trPr>
          <w:trHeight w:val="185"/>
        </w:trPr>
        <w:tc>
          <w:tcPr>
            <w:tcW w:w="3220" w:type="dxa"/>
            <w:vAlign w:val="bottom"/>
            <w:tcBorders>
              <w:bottom w:val="single" w:sz="8" w:color="E6E6E6"/>
            </w:tcBorders>
          </w:tcPr>
          <w:p>
            <w:pPr>
              <w:ind w:left="60"/>
              <w:spacing w:after="0"/>
              <w:rPr>
                <w:sz w:val="20"/>
                <w:szCs w:val="20"/>
                <w:color w:val="auto"/>
              </w:rPr>
            </w:pPr>
            <w:r>
              <w:rPr>
                <w:rFonts w:ascii="Arial" w:cs="Arial" w:eastAsia="Arial" w:hAnsi="Arial"/>
                <w:sz w:val="14"/>
                <w:szCs w:val="14"/>
                <w:color w:val="auto"/>
              </w:rPr>
              <w:t>Awards” Column in the SCT ($)</w:t>
            </w:r>
          </w:p>
        </w:tc>
        <w:tc>
          <w:tcPr>
            <w:tcW w:w="920" w:type="dxa"/>
            <w:vAlign w:val="bottom"/>
            <w:tcBorders>
              <w:bottom w:val="single" w:sz="8" w:color="E6E6E6"/>
            </w:tcBorders>
          </w:tcPr>
          <w:p>
            <w:pPr>
              <w:spacing w:after="0"/>
              <w:rPr>
                <w:sz w:val="16"/>
                <w:szCs w:val="16"/>
                <w:color w:val="auto"/>
              </w:rPr>
            </w:pPr>
          </w:p>
        </w:tc>
        <w:tc>
          <w:tcPr>
            <w:tcW w:w="880" w:type="dxa"/>
            <w:vAlign w:val="bottom"/>
            <w:tcBorders>
              <w:bottom w:val="single" w:sz="8" w:color="E6E6E6"/>
            </w:tcBorders>
          </w:tcPr>
          <w:p>
            <w:pPr>
              <w:spacing w:after="0"/>
              <w:rPr>
                <w:sz w:val="16"/>
                <w:szCs w:val="16"/>
                <w:color w:val="auto"/>
              </w:rPr>
            </w:pPr>
          </w:p>
        </w:tc>
        <w:tc>
          <w:tcPr>
            <w:tcW w:w="920" w:type="dxa"/>
            <w:vAlign w:val="bottom"/>
            <w:tcBorders>
              <w:bottom w:val="single" w:sz="8" w:color="E6E6E6"/>
            </w:tcBorders>
          </w:tcPr>
          <w:p>
            <w:pPr>
              <w:spacing w:after="0"/>
              <w:rPr>
                <w:sz w:val="16"/>
                <w:szCs w:val="16"/>
                <w:color w:val="auto"/>
              </w:rPr>
            </w:pPr>
          </w:p>
        </w:tc>
        <w:tc>
          <w:tcPr>
            <w:tcW w:w="86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r>
      <w:tr>
        <w:trPr>
          <w:trHeight w:val="187"/>
        </w:trPr>
        <w:tc>
          <w:tcPr>
            <w:tcW w:w="3220" w:type="dxa"/>
            <w:vAlign w:val="bottom"/>
            <w:shd w:val="clear" w:color="auto" w:fill="EEFAEC"/>
          </w:tcPr>
          <w:p>
            <w:pPr>
              <w:ind w:left="60"/>
              <w:spacing w:after="0"/>
              <w:rPr>
                <w:sz w:val="20"/>
                <w:szCs w:val="20"/>
                <w:color w:val="auto"/>
              </w:rPr>
            </w:pPr>
            <w:r>
              <w:rPr>
                <w:rFonts w:ascii="Arial" w:cs="Arial" w:eastAsia="Arial" w:hAnsi="Arial"/>
                <w:sz w:val="14"/>
                <w:szCs w:val="14"/>
                <w:color w:val="auto"/>
              </w:rPr>
              <w:t>Deduct: Amounts Reported under the “Option</w:t>
            </w:r>
          </w:p>
        </w:tc>
        <w:tc>
          <w:tcPr>
            <w:tcW w:w="920" w:type="dxa"/>
            <w:vAlign w:val="bottom"/>
            <w:shd w:val="clear" w:color="auto" w:fill="EEFAEC"/>
          </w:tcPr>
          <w:p>
            <w:pPr>
              <w:jc w:val="right"/>
              <w:spacing w:after="0"/>
              <w:rPr>
                <w:sz w:val="20"/>
                <w:szCs w:val="20"/>
                <w:color w:val="auto"/>
              </w:rPr>
            </w:pPr>
            <w:r>
              <w:rPr>
                <w:rFonts w:ascii="Arial" w:cs="Arial" w:eastAsia="Arial" w:hAnsi="Arial"/>
                <w:sz w:val="14"/>
                <w:szCs w:val="14"/>
                <w:color w:val="auto"/>
              </w:rPr>
              <w:t>(4,250,002)</w:t>
            </w:r>
          </w:p>
        </w:tc>
        <w:tc>
          <w:tcPr>
            <w:tcW w:w="88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shd w:val="clear" w:color="auto" w:fill="EEFAEC"/>
          </w:tcPr>
          <w:p>
            <w:pPr>
              <w:jc w:val="right"/>
              <w:spacing w:after="0"/>
              <w:rPr>
                <w:sz w:val="20"/>
                <w:szCs w:val="20"/>
                <w:color w:val="auto"/>
              </w:rPr>
            </w:pPr>
            <w:r>
              <w:rPr>
                <w:rFonts w:ascii="Arial" w:cs="Arial" w:eastAsia="Arial" w:hAnsi="Arial"/>
                <w:sz w:val="14"/>
                <w:szCs w:val="14"/>
                <w:color w:val="auto"/>
              </w:rPr>
              <w:t>(1,999,990)</w:t>
            </w:r>
          </w:p>
        </w:tc>
        <w:tc>
          <w:tcPr>
            <w:tcW w:w="860" w:type="dxa"/>
            <w:vAlign w:val="bottom"/>
            <w:shd w:val="clear" w:color="auto" w:fill="EEFAEC"/>
          </w:tcPr>
          <w:p>
            <w:pPr>
              <w:jc w:val="right"/>
              <w:spacing w:after="0"/>
              <w:rPr>
                <w:sz w:val="20"/>
                <w:szCs w:val="20"/>
                <w:color w:val="auto"/>
              </w:rPr>
            </w:pPr>
            <w:r>
              <w:rPr>
                <w:rFonts w:ascii="Arial" w:cs="Arial" w:eastAsia="Arial" w:hAnsi="Arial"/>
                <w:sz w:val="14"/>
                <w:szCs w:val="14"/>
                <w:color w:val="auto"/>
              </w:rPr>
              <w:t>(6,479,998)</w:t>
            </w:r>
          </w:p>
        </w:tc>
        <w:tc>
          <w:tcPr>
            <w:tcW w:w="840" w:type="dxa"/>
            <w:vAlign w:val="bottom"/>
            <w:shd w:val="clear" w:color="auto" w:fill="EEFAEC"/>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EFAEC"/>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3220" w:type="dxa"/>
            <w:vAlign w:val="bottom"/>
            <w:tcBorders>
              <w:bottom w:val="single" w:sz="8" w:color="E6E6E6"/>
            </w:tcBorders>
            <w:shd w:val="clear" w:color="auto" w:fill="EEFAEC"/>
          </w:tcPr>
          <w:p>
            <w:pPr>
              <w:ind w:left="60"/>
              <w:spacing w:after="0"/>
              <w:rPr>
                <w:sz w:val="20"/>
                <w:szCs w:val="20"/>
                <w:color w:val="auto"/>
              </w:rPr>
            </w:pPr>
            <w:r>
              <w:rPr>
                <w:rFonts w:ascii="Arial" w:cs="Arial" w:eastAsia="Arial" w:hAnsi="Arial"/>
                <w:sz w:val="14"/>
                <w:szCs w:val="14"/>
                <w:color w:val="auto"/>
              </w:rPr>
              <w:t>Awards” Column in the SCT ($)</w:t>
            </w:r>
          </w:p>
        </w:tc>
        <w:tc>
          <w:tcPr>
            <w:tcW w:w="920" w:type="dxa"/>
            <w:vAlign w:val="bottom"/>
            <w:tcBorders>
              <w:bottom w:val="single" w:sz="8" w:color="E6E6E6"/>
            </w:tcBorders>
            <w:shd w:val="clear" w:color="auto" w:fill="EEFAEC"/>
          </w:tcPr>
          <w:p>
            <w:pPr>
              <w:spacing w:after="0"/>
              <w:rPr>
                <w:sz w:val="16"/>
                <w:szCs w:val="16"/>
                <w:color w:val="auto"/>
              </w:rPr>
            </w:pPr>
          </w:p>
        </w:tc>
        <w:tc>
          <w:tcPr>
            <w:tcW w:w="880" w:type="dxa"/>
            <w:vAlign w:val="bottom"/>
            <w:tcBorders>
              <w:bottom w:val="single" w:sz="8" w:color="E6E6E6"/>
            </w:tcBorders>
            <w:shd w:val="clear" w:color="auto" w:fill="EEFAEC"/>
          </w:tcPr>
          <w:p>
            <w:pPr>
              <w:spacing w:after="0"/>
              <w:rPr>
                <w:sz w:val="16"/>
                <w:szCs w:val="16"/>
                <w:color w:val="auto"/>
              </w:rPr>
            </w:pPr>
          </w:p>
        </w:tc>
        <w:tc>
          <w:tcPr>
            <w:tcW w:w="920" w:type="dxa"/>
            <w:vAlign w:val="bottom"/>
            <w:tcBorders>
              <w:bottom w:val="single" w:sz="8" w:color="E6E6E6"/>
            </w:tcBorders>
            <w:shd w:val="clear" w:color="auto" w:fill="EEFAEC"/>
          </w:tcPr>
          <w:p>
            <w:pPr>
              <w:spacing w:after="0"/>
              <w:rPr>
                <w:sz w:val="16"/>
                <w:szCs w:val="16"/>
                <w:color w:val="auto"/>
              </w:rPr>
            </w:pPr>
          </w:p>
        </w:tc>
        <w:tc>
          <w:tcPr>
            <w:tcW w:w="860" w:type="dxa"/>
            <w:vAlign w:val="bottom"/>
            <w:tcBorders>
              <w:bottom w:val="single" w:sz="8" w:color="E6E6E6"/>
            </w:tcBorders>
            <w:shd w:val="clear" w:color="auto" w:fill="EEFAEC"/>
          </w:tcPr>
          <w:p>
            <w:pPr>
              <w:spacing w:after="0"/>
              <w:rPr>
                <w:sz w:val="16"/>
                <w:szCs w:val="16"/>
                <w:color w:val="auto"/>
              </w:rPr>
            </w:pPr>
          </w:p>
        </w:tc>
        <w:tc>
          <w:tcPr>
            <w:tcW w:w="840" w:type="dxa"/>
            <w:vAlign w:val="bottom"/>
            <w:tcBorders>
              <w:bottom w:val="single" w:sz="8" w:color="E6E6E6"/>
            </w:tcBorders>
            <w:shd w:val="clear" w:color="auto" w:fill="EEFAEC"/>
          </w:tcPr>
          <w:p>
            <w:pPr>
              <w:spacing w:after="0"/>
              <w:rPr>
                <w:sz w:val="16"/>
                <w:szCs w:val="16"/>
                <w:color w:val="auto"/>
              </w:rPr>
            </w:pPr>
          </w:p>
        </w:tc>
        <w:tc>
          <w:tcPr>
            <w:tcW w:w="840" w:type="dxa"/>
            <w:vAlign w:val="bottom"/>
            <w:tcBorders>
              <w:bottom w:val="single" w:sz="8" w:color="E6E6E6"/>
            </w:tcBorders>
            <w:shd w:val="clear" w:color="auto" w:fill="EEFAEC"/>
          </w:tcPr>
          <w:p>
            <w:pPr>
              <w:spacing w:after="0"/>
              <w:rPr>
                <w:sz w:val="16"/>
                <w:szCs w:val="16"/>
                <w:color w:val="auto"/>
              </w:rPr>
            </w:pPr>
          </w:p>
        </w:tc>
      </w:tr>
      <w:tr>
        <w:trPr>
          <w:trHeight w:val="200"/>
        </w:trPr>
        <w:tc>
          <w:tcPr>
            <w:tcW w:w="3220" w:type="dxa"/>
            <w:vAlign w:val="bottom"/>
          </w:tcPr>
          <w:p>
            <w:pPr>
              <w:ind w:left="60"/>
              <w:spacing w:after="0"/>
              <w:rPr>
                <w:sz w:val="20"/>
                <w:szCs w:val="20"/>
                <w:color w:val="auto"/>
              </w:rPr>
            </w:pPr>
            <w:r>
              <w:rPr>
                <w:rFonts w:ascii="Arial" w:cs="Arial" w:eastAsia="Arial" w:hAnsi="Arial"/>
                <w:sz w:val="14"/>
                <w:szCs w:val="14"/>
                <w:color w:val="auto"/>
              </w:rPr>
              <w:t>Increase: Fair Value of Awards Granted during</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13,333,489</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7,191,400</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14,036,961</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21,316,738</w:t>
            </w:r>
          </w:p>
        </w:tc>
        <w:tc>
          <w:tcPr>
            <w:tcW w:w="840" w:type="dxa"/>
            <w:vAlign w:val="bottom"/>
          </w:tcPr>
          <w:p>
            <w:pPr>
              <w:jc w:val="right"/>
              <w:spacing w:after="0"/>
              <w:rPr>
                <w:sz w:val="20"/>
                <w:szCs w:val="20"/>
                <w:color w:val="auto"/>
              </w:rPr>
            </w:pPr>
            <w:r>
              <w:rPr>
                <w:rFonts w:ascii="Arial" w:cs="Arial" w:eastAsia="Arial" w:hAnsi="Arial"/>
                <w:sz w:val="14"/>
                <w:szCs w:val="14"/>
                <w:color w:val="auto"/>
              </w:rPr>
              <w:t>17,985,466</w:t>
            </w:r>
          </w:p>
        </w:tc>
      </w:tr>
      <w:tr>
        <w:trPr>
          <w:trHeight w:val="175"/>
        </w:trPr>
        <w:tc>
          <w:tcPr>
            <w:tcW w:w="3220" w:type="dxa"/>
            <w:vAlign w:val="bottom"/>
          </w:tcPr>
          <w:p>
            <w:pPr>
              <w:ind w:left="60"/>
              <w:spacing w:after="0"/>
              <w:rPr>
                <w:sz w:val="20"/>
                <w:szCs w:val="20"/>
                <w:color w:val="auto"/>
              </w:rPr>
            </w:pPr>
            <w:r>
              <w:rPr>
                <w:rFonts w:ascii="Arial" w:cs="Arial" w:eastAsia="Arial" w:hAnsi="Arial"/>
                <w:sz w:val="14"/>
                <w:szCs w:val="14"/>
                <w:color w:val="auto"/>
              </w:rPr>
              <w:t>the year that remain Outstanding and Unvested</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3220" w:type="dxa"/>
            <w:vAlign w:val="bottom"/>
            <w:tcBorders>
              <w:bottom w:val="single" w:sz="8" w:color="E6E6E6"/>
            </w:tcBorders>
          </w:tcPr>
          <w:p>
            <w:pPr>
              <w:ind w:left="60"/>
              <w:spacing w:after="0"/>
              <w:rPr>
                <w:sz w:val="20"/>
                <w:szCs w:val="20"/>
                <w:color w:val="auto"/>
              </w:rPr>
            </w:pPr>
            <w:r>
              <w:rPr>
                <w:rFonts w:ascii="Arial" w:cs="Arial" w:eastAsia="Arial" w:hAnsi="Arial"/>
                <w:sz w:val="14"/>
                <w:szCs w:val="14"/>
                <w:color w:val="auto"/>
              </w:rPr>
              <w:t>as of year-end ($)</w:t>
            </w:r>
          </w:p>
        </w:tc>
        <w:tc>
          <w:tcPr>
            <w:tcW w:w="920" w:type="dxa"/>
            <w:vAlign w:val="bottom"/>
            <w:tcBorders>
              <w:bottom w:val="single" w:sz="8" w:color="E6E6E6"/>
            </w:tcBorders>
          </w:tcPr>
          <w:p>
            <w:pPr>
              <w:spacing w:after="0"/>
              <w:rPr>
                <w:sz w:val="16"/>
                <w:szCs w:val="16"/>
                <w:color w:val="auto"/>
              </w:rPr>
            </w:pPr>
          </w:p>
        </w:tc>
        <w:tc>
          <w:tcPr>
            <w:tcW w:w="880" w:type="dxa"/>
            <w:vAlign w:val="bottom"/>
            <w:tcBorders>
              <w:bottom w:val="single" w:sz="8" w:color="E6E6E6"/>
            </w:tcBorders>
          </w:tcPr>
          <w:p>
            <w:pPr>
              <w:spacing w:after="0"/>
              <w:rPr>
                <w:sz w:val="16"/>
                <w:szCs w:val="16"/>
                <w:color w:val="auto"/>
              </w:rPr>
            </w:pPr>
          </w:p>
        </w:tc>
        <w:tc>
          <w:tcPr>
            <w:tcW w:w="920" w:type="dxa"/>
            <w:vAlign w:val="bottom"/>
            <w:tcBorders>
              <w:bottom w:val="single" w:sz="8" w:color="E6E6E6"/>
            </w:tcBorders>
          </w:tcPr>
          <w:p>
            <w:pPr>
              <w:spacing w:after="0"/>
              <w:rPr>
                <w:sz w:val="16"/>
                <w:szCs w:val="16"/>
                <w:color w:val="auto"/>
              </w:rPr>
            </w:pPr>
          </w:p>
        </w:tc>
        <w:tc>
          <w:tcPr>
            <w:tcW w:w="86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r>
      <w:tr>
        <w:trPr>
          <w:trHeight w:val="187"/>
        </w:trPr>
        <w:tc>
          <w:tcPr>
            <w:tcW w:w="3220" w:type="dxa"/>
            <w:vAlign w:val="bottom"/>
            <w:shd w:val="clear" w:color="auto" w:fill="EEFAEC"/>
          </w:tcPr>
          <w:p>
            <w:pPr>
              <w:ind w:left="60"/>
              <w:spacing w:after="0"/>
              <w:rPr>
                <w:sz w:val="20"/>
                <w:szCs w:val="20"/>
                <w:color w:val="auto"/>
              </w:rPr>
            </w:pPr>
            <w:r>
              <w:rPr>
                <w:rFonts w:ascii="Arial" w:cs="Arial" w:eastAsia="Arial" w:hAnsi="Arial"/>
                <w:sz w:val="14"/>
                <w:szCs w:val="14"/>
                <w:color w:val="auto"/>
              </w:rPr>
              <w:t>Increase: Fair Value of Awards Granted during</w:t>
            </w:r>
          </w:p>
        </w:tc>
        <w:tc>
          <w:tcPr>
            <w:tcW w:w="92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14,537,377</w:t>
            </w:r>
          </w:p>
        </w:tc>
        <w:tc>
          <w:tcPr>
            <w:tcW w:w="92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w:t>
            </w:r>
          </w:p>
        </w:tc>
        <w:tc>
          <w:tcPr>
            <w:tcW w:w="840" w:type="dxa"/>
            <w:vAlign w:val="bottom"/>
            <w:shd w:val="clear" w:color="auto" w:fill="EEFAEC"/>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EFAEC"/>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3220" w:type="dxa"/>
            <w:vAlign w:val="bottom"/>
            <w:tcBorders>
              <w:bottom w:val="single" w:sz="8" w:color="E6E6E6"/>
            </w:tcBorders>
            <w:shd w:val="clear" w:color="auto" w:fill="EEFAEC"/>
          </w:tcPr>
          <w:p>
            <w:pPr>
              <w:ind w:left="60"/>
              <w:spacing w:after="0"/>
              <w:rPr>
                <w:sz w:val="20"/>
                <w:szCs w:val="20"/>
                <w:color w:val="auto"/>
              </w:rPr>
            </w:pPr>
            <w:r>
              <w:rPr>
                <w:rFonts w:ascii="Arial" w:cs="Arial" w:eastAsia="Arial" w:hAnsi="Arial"/>
                <w:sz w:val="14"/>
                <w:szCs w:val="14"/>
                <w:color w:val="auto"/>
              </w:rPr>
              <w:t>the year that Vested during the year ($)</w:t>
            </w:r>
          </w:p>
        </w:tc>
        <w:tc>
          <w:tcPr>
            <w:tcW w:w="920" w:type="dxa"/>
            <w:vAlign w:val="bottom"/>
            <w:tcBorders>
              <w:bottom w:val="single" w:sz="8" w:color="E6E6E6"/>
            </w:tcBorders>
            <w:shd w:val="clear" w:color="auto" w:fill="EEFAEC"/>
          </w:tcPr>
          <w:p>
            <w:pPr>
              <w:spacing w:after="0"/>
              <w:rPr>
                <w:sz w:val="16"/>
                <w:szCs w:val="16"/>
                <w:color w:val="auto"/>
              </w:rPr>
            </w:pPr>
          </w:p>
        </w:tc>
        <w:tc>
          <w:tcPr>
            <w:tcW w:w="880" w:type="dxa"/>
            <w:vAlign w:val="bottom"/>
            <w:tcBorders>
              <w:bottom w:val="single" w:sz="8" w:color="E6E6E6"/>
            </w:tcBorders>
            <w:shd w:val="clear" w:color="auto" w:fill="EEFAEC"/>
          </w:tcPr>
          <w:p>
            <w:pPr>
              <w:spacing w:after="0"/>
              <w:rPr>
                <w:sz w:val="16"/>
                <w:szCs w:val="16"/>
                <w:color w:val="auto"/>
              </w:rPr>
            </w:pPr>
          </w:p>
        </w:tc>
        <w:tc>
          <w:tcPr>
            <w:tcW w:w="920" w:type="dxa"/>
            <w:vAlign w:val="bottom"/>
            <w:tcBorders>
              <w:bottom w:val="single" w:sz="8" w:color="E6E6E6"/>
            </w:tcBorders>
            <w:shd w:val="clear" w:color="auto" w:fill="EEFAEC"/>
          </w:tcPr>
          <w:p>
            <w:pPr>
              <w:spacing w:after="0"/>
              <w:rPr>
                <w:sz w:val="16"/>
                <w:szCs w:val="16"/>
                <w:color w:val="auto"/>
              </w:rPr>
            </w:pPr>
          </w:p>
        </w:tc>
        <w:tc>
          <w:tcPr>
            <w:tcW w:w="860" w:type="dxa"/>
            <w:vAlign w:val="bottom"/>
            <w:tcBorders>
              <w:bottom w:val="single" w:sz="8" w:color="E6E6E6"/>
            </w:tcBorders>
            <w:shd w:val="clear" w:color="auto" w:fill="EEFAEC"/>
          </w:tcPr>
          <w:p>
            <w:pPr>
              <w:spacing w:after="0"/>
              <w:rPr>
                <w:sz w:val="16"/>
                <w:szCs w:val="16"/>
                <w:color w:val="auto"/>
              </w:rPr>
            </w:pPr>
          </w:p>
        </w:tc>
        <w:tc>
          <w:tcPr>
            <w:tcW w:w="840" w:type="dxa"/>
            <w:vAlign w:val="bottom"/>
            <w:tcBorders>
              <w:bottom w:val="single" w:sz="8" w:color="E6E6E6"/>
            </w:tcBorders>
            <w:shd w:val="clear" w:color="auto" w:fill="EEFAEC"/>
          </w:tcPr>
          <w:p>
            <w:pPr>
              <w:spacing w:after="0"/>
              <w:rPr>
                <w:sz w:val="16"/>
                <w:szCs w:val="16"/>
                <w:color w:val="auto"/>
              </w:rPr>
            </w:pPr>
          </w:p>
        </w:tc>
        <w:tc>
          <w:tcPr>
            <w:tcW w:w="840" w:type="dxa"/>
            <w:vAlign w:val="bottom"/>
            <w:tcBorders>
              <w:bottom w:val="single" w:sz="8" w:color="E6E6E6"/>
            </w:tcBorders>
            <w:shd w:val="clear" w:color="auto" w:fill="EEFAEC"/>
          </w:tcPr>
          <w:p>
            <w:pPr>
              <w:spacing w:after="0"/>
              <w:rPr>
                <w:sz w:val="16"/>
                <w:szCs w:val="16"/>
                <w:color w:val="auto"/>
              </w:rPr>
            </w:pPr>
          </w:p>
        </w:tc>
      </w:tr>
      <w:tr>
        <w:trPr>
          <w:trHeight w:val="187"/>
        </w:trPr>
        <w:tc>
          <w:tcPr>
            <w:tcW w:w="3220" w:type="dxa"/>
            <w:vAlign w:val="bottom"/>
          </w:tcPr>
          <w:p>
            <w:pPr>
              <w:ind w:left="60"/>
              <w:spacing w:after="0"/>
              <w:rPr>
                <w:sz w:val="20"/>
                <w:szCs w:val="20"/>
                <w:color w:val="auto"/>
              </w:rPr>
            </w:pPr>
            <w:r>
              <w:rPr>
                <w:rFonts w:ascii="Arial" w:cs="Arial" w:eastAsia="Arial" w:hAnsi="Arial"/>
                <w:sz w:val="14"/>
                <w:szCs w:val="14"/>
                <w:color w:val="auto"/>
              </w:rPr>
              <w:t>Increase/deduct: Change in Fair Value from prior</w:t>
            </w:r>
          </w:p>
        </w:tc>
        <w:tc>
          <w:tcPr>
            <w:tcW w:w="920" w:type="dxa"/>
            <w:vAlign w:val="bottom"/>
          </w:tcPr>
          <w:p>
            <w:pPr>
              <w:jc w:val="right"/>
              <w:spacing w:after="0"/>
              <w:rPr>
                <w:sz w:val="20"/>
                <w:szCs w:val="20"/>
                <w:color w:val="auto"/>
              </w:rPr>
            </w:pPr>
            <w:r>
              <w:rPr>
                <w:rFonts w:ascii="Arial" w:cs="Arial" w:eastAsia="Arial" w:hAnsi="Arial"/>
                <w:sz w:val="14"/>
                <w:szCs w:val="14"/>
                <w:color w:val="auto"/>
              </w:rPr>
              <w:t>(13,943,099)</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(3,327,604)</w:t>
            </w:r>
          </w:p>
        </w:tc>
        <w:tc>
          <w:tcPr>
            <w:tcW w:w="860" w:type="dxa"/>
            <w:vAlign w:val="bottom"/>
          </w:tcPr>
          <w:p>
            <w:pPr>
              <w:jc w:val="right"/>
              <w:spacing w:after="0"/>
              <w:rPr>
                <w:sz w:val="20"/>
                <w:szCs w:val="20"/>
                <w:color w:val="auto"/>
              </w:rPr>
            </w:pPr>
            <w:r>
              <w:rPr>
                <w:rFonts w:ascii="Arial" w:cs="Arial" w:eastAsia="Arial" w:hAnsi="Arial"/>
                <w:sz w:val="14"/>
                <w:szCs w:val="14"/>
                <w:color w:val="auto"/>
              </w:rPr>
              <w:t>(2,282,258)</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7,224,427</w:t>
            </w:r>
          </w:p>
        </w:tc>
        <w:tc>
          <w:tcPr>
            <w:tcW w:w="840" w:type="dxa"/>
            <w:vAlign w:val="bottom"/>
          </w:tcPr>
          <w:p>
            <w:pPr>
              <w:jc w:val="right"/>
              <w:spacing w:after="0"/>
              <w:rPr>
                <w:sz w:val="20"/>
                <w:szCs w:val="20"/>
                <w:color w:val="auto"/>
              </w:rPr>
            </w:pPr>
            <w:r>
              <w:rPr>
                <w:rFonts w:ascii="Arial" w:cs="Arial" w:eastAsia="Arial" w:hAnsi="Arial"/>
                <w:sz w:val="14"/>
                <w:szCs w:val="14"/>
                <w:color w:val="auto"/>
              </w:rPr>
              <w:t>1,615,798</w:t>
            </w:r>
          </w:p>
        </w:tc>
      </w:tr>
      <w:tr>
        <w:trPr>
          <w:trHeight w:val="175"/>
        </w:trPr>
        <w:tc>
          <w:tcPr>
            <w:tcW w:w="3220" w:type="dxa"/>
            <w:vAlign w:val="bottom"/>
          </w:tcPr>
          <w:p>
            <w:pPr>
              <w:ind w:left="60"/>
              <w:spacing w:after="0"/>
              <w:rPr>
                <w:sz w:val="20"/>
                <w:szCs w:val="20"/>
                <w:color w:val="auto"/>
              </w:rPr>
            </w:pPr>
            <w:r>
              <w:rPr>
                <w:rFonts w:ascii="Arial" w:cs="Arial" w:eastAsia="Arial" w:hAnsi="Arial"/>
                <w:sz w:val="14"/>
                <w:szCs w:val="14"/>
                <w:color w:val="auto"/>
              </w:rPr>
              <w:t>Year-end to current Year-end of Awards Granted</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3220" w:type="dxa"/>
            <w:vAlign w:val="bottom"/>
          </w:tcPr>
          <w:p>
            <w:pPr>
              <w:ind w:left="60"/>
              <w:spacing w:after="0" w:line="159" w:lineRule="exact"/>
              <w:rPr>
                <w:sz w:val="20"/>
                <w:szCs w:val="20"/>
                <w:color w:val="auto"/>
              </w:rPr>
            </w:pPr>
            <w:r>
              <w:rPr>
                <w:rFonts w:ascii="Arial" w:cs="Arial" w:eastAsia="Arial" w:hAnsi="Arial"/>
                <w:sz w:val="14"/>
                <w:szCs w:val="14"/>
                <w:color w:val="auto"/>
              </w:rPr>
              <w:t>Prior to year that were Outstanding and</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1"/>
        </w:trPr>
        <w:tc>
          <w:tcPr>
            <w:tcW w:w="3220" w:type="dxa"/>
            <w:vAlign w:val="bottom"/>
            <w:tcBorders>
              <w:bottom w:val="single" w:sz="8" w:color="E6E6E6"/>
            </w:tcBorders>
          </w:tcPr>
          <w:p>
            <w:pPr>
              <w:ind w:left="60"/>
              <w:spacing w:after="0" w:line="201" w:lineRule="exact"/>
              <w:rPr>
                <w:sz w:val="20"/>
                <w:szCs w:val="20"/>
                <w:color w:val="auto"/>
              </w:rPr>
            </w:pPr>
            <w:r>
              <w:rPr>
                <w:rFonts w:ascii="Arial" w:cs="Arial" w:eastAsia="Arial" w:hAnsi="Arial"/>
                <w:sz w:val="14"/>
                <w:szCs w:val="14"/>
                <w:color w:val="auto"/>
              </w:rPr>
              <w:t>Unvested as of year-end ($)</w:t>
            </w:r>
            <w:r>
              <w:rPr>
                <w:rFonts w:ascii="Arial" w:cs="Arial" w:eastAsia="Arial" w:hAnsi="Arial"/>
                <w:sz w:val="18"/>
                <w:szCs w:val="18"/>
                <w:color w:val="auto"/>
                <w:vertAlign w:val="superscript"/>
              </w:rPr>
              <w:t>(a)</w:t>
            </w:r>
          </w:p>
        </w:tc>
        <w:tc>
          <w:tcPr>
            <w:tcW w:w="920" w:type="dxa"/>
            <w:vAlign w:val="bottom"/>
            <w:tcBorders>
              <w:bottom w:val="single" w:sz="8" w:color="E6E6E6"/>
            </w:tcBorders>
          </w:tcPr>
          <w:p>
            <w:pPr>
              <w:spacing w:after="0"/>
              <w:rPr>
                <w:sz w:val="17"/>
                <w:szCs w:val="17"/>
                <w:color w:val="auto"/>
              </w:rPr>
            </w:pPr>
          </w:p>
        </w:tc>
        <w:tc>
          <w:tcPr>
            <w:tcW w:w="880" w:type="dxa"/>
            <w:vAlign w:val="bottom"/>
            <w:tcBorders>
              <w:bottom w:val="single" w:sz="8" w:color="E6E6E6"/>
            </w:tcBorders>
          </w:tcPr>
          <w:p>
            <w:pPr>
              <w:spacing w:after="0"/>
              <w:rPr>
                <w:sz w:val="17"/>
                <w:szCs w:val="17"/>
                <w:color w:val="auto"/>
              </w:rPr>
            </w:pPr>
          </w:p>
        </w:tc>
        <w:tc>
          <w:tcPr>
            <w:tcW w:w="920" w:type="dxa"/>
            <w:vAlign w:val="bottom"/>
            <w:tcBorders>
              <w:bottom w:val="single" w:sz="8" w:color="E6E6E6"/>
            </w:tcBorders>
          </w:tcPr>
          <w:p>
            <w:pPr>
              <w:spacing w:after="0"/>
              <w:rPr>
                <w:sz w:val="17"/>
                <w:szCs w:val="17"/>
                <w:color w:val="auto"/>
              </w:rPr>
            </w:pPr>
          </w:p>
        </w:tc>
        <w:tc>
          <w:tcPr>
            <w:tcW w:w="860" w:type="dxa"/>
            <w:vAlign w:val="bottom"/>
            <w:tcBorders>
              <w:bottom w:val="single" w:sz="8" w:color="E6E6E6"/>
            </w:tcBorders>
          </w:tcPr>
          <w:p>
            <w:pPr>
              <w:spacing w:after="0"/>
              <w:rPr>
                <w:sz w:val="17"/>
                <w:szCs w:val="17"/>
                <w:color w:val="auto"/>
              </w:rPr>
            </w:pPr>
          </w:p>
        </w:tc>
        <w:tc>
          <w:tcPr>
            <w:tcW w:w="840" w:type="dxa"/>
            <w:vAlign w:val="bottom"/>
            <w:tcBorders>
              <w:bottom w:val="single" w:sz="8" w:color="E6E6E6"/>
            </w:tcBorders>
          </w:tcPr>
          <w:p>
            <w:pPr>
              <w:spacing w:after="0"/>
              <w:rPr>
                <w:sz w:val="17"/>
                <w:szCs w:val="17"/>
                <w:color w:val="auto"/>
              </w:rPr>
            </w:pPr>
          </w:p>
        </w:tc>
        <w:tc>
          <w:tcPr>
            <w:tcW w:w="840" w:type="dxa"/>
            <w:vAlign w:val="bottom"/>
            <w:tcBorders>
              <w:bottom w:val="single" w:sz="8" w:color="E6E6E6"/>
            </w:tcBorders>
          </w:tcPr>
          <w:p>
            <w:pPr>
              <w:spacing w:after="0"/>
              <w:rPr>
                <w:sz w:val="17"/>
                <w:szCs w:val="17"/>
                <w:color w:val="auto"/>
              </w:rPr>
            </w:pPr>
          </w:p>
        </w:tc>
      </w:tr>
      <w:tr>
        <w:trPr>
          <w:trHeight w:val="173"/>
        </w:trPr>
        <w:tc>
          <w:tcPr>
            <w:tcW w:w="3220" w:type="dxa"/>
            <w:vAlign w:val="bottom"/>
            <w:shd w:val="clear" w:color="auto" w:fill="EEFAEC"/>
          </w:tcPr>
          <w:p>
            <w:pPr>
              <w:ind w:left="60"/>
              <w:spacing w:after="0"/>
              <w:rPr>
                <w:sz w:val="20"/>
                <w:szCs w:val="20"/>
                <w:color w:val="auto"/>
              </w:rPr>
            </w:pPr>
            <w:r>
              <w:rPr>
                <w:rFonts w:ascii="Arial" w:cs="Arial" w:eastAsia="Arial" w:hAnsi="Arial"/>
                <w:sz w:val="14"/>
                <w:szCs w:val="14"/>
                <w:color w:val="auto"/>
              </w:rPr>
              <w:t>Increase/deduct: Change in Fair Value from Prior</w:t>
            </w:r>
          </w:p>
        </w:tc>
        <w:tc>
          <w:tcPr>
            <w:tcW w:w="92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439,855</w:t>
            </w:r>
          </w:p>
        </w:tc>
        <w:tc>
          <w:tcPr>
            <w:tcW w:w="880" w:type="dxa"/>
            <w:vAlign w:val="bottom"/>
            <w:shd w:val="clear" w:color="auto" w:fill="EEFAEC"/>
          </w:tcPr>
          <w:p>
            <w:pPr>
              <w:jc w:val="right"/>
              <w:spacing w:after="0"/>
              <w:rPr>
                <w:sz w:val="20"/>
                <w:szCs w:val="20"/>
                <w:color w:val="auto"/>
              </w:rPr>
            </w:pPr>
            <w:r>
              <w:rPr>
                <w:rFonts w:ascii="Arial" w:cs="Arial" w:eastAsia="Arial" w:hAnsi="Arial"/>
                <w:sz w:val="14"/>
                <w:szCs w:val="14"/>
                <w:color w:val="auto"/>
              </w:rPr>
              <w:t>(9,231,661)</w:t>
            </w:r>
          </w:p>
        </w:tc>
        <w:tc>
          <w:tcPr>
            <w:tcW w:w="92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shd w:val="clear" w:color="auto" w:fill="EEFAEC"/>
          </w:tcPr>
          <w:p>
            <w:pPr>
              <w:jc w:val="right"/>
              <w:spacing w:after="0"/>
              <w:rPr>
                <w:sz w:val="20"/>
                <w:szCs w:val="20"/>
                <w:color w:val="auto"/>
              </w:rPr>
            </w:pPr>
            <w:r>
              <w:rPr>
                <w:rFonts w:ascii="Arial" w:cs="Arial" w:eastAsia="Arial" w:hAnsi="Arial"/>
                <w:sz w:val="14"/>
                <w:szCs w:val="14"/>
                <w:color w:val="auto"/>
              </w:rPr>
              <w:t>(55,507)</w:t>
            </w:r>
          </w:p>
        </w:tc>
        <w:tc>
          <w:tcPr>
            <w:tcW w:w="840" w:type="dxa"/>
            <w:vAlign w:val="bottom"/>
            <w:shd w:val="clear" w:color="auto" w:fill="EEFAEC"/>
          </w:tcPr>
          <w:p>
            <w:pPr>
              <w:jc w:val="right"/>
              <w:ind w:right="10"/>
              <w:spacing w:after="0"/>
              <w:rPr>
                <w:sz w:val="20"/>
                <w:szCs w:val="20"/>
                <w:color w:val="auto"/>
              </w:rPr>
            </w:pPr>
            <w:r>
              <w:rPr>
                <w:rFonts w:ascii="Arial" w:cs="Arial" w:eastAsia="Arial" w:hAnsi="Arial"/>
                <w:sz w:val="14"/>
                <w:szCs w:val="14"/>
                <w:color w:val="auto"/>
              </w:rPr>
              <w:t>1,640,786</w:t>
            </w:r>
          </w:p>
        </w:tc>
        <w:tc>
          <w:tcPr>
            <w:tcW w:w="840" w:type="dxa"/>
            <w:vAlign w:val="bottom"/>
            <w:shd w:val="clear" w:color="auto" w:fill="EEFAEC"/>
          </w:tcPr>
          <w:p>
            <w:pPr>
              <w:jc w:val="right"/>
              <w:spacing w:after="0"/>
              <w:rPr>
                <w:sz w:val="20"/>
                <w:szCs w:val="20"/>
                <w:color w:val="auto"/>
              </w:rPr>
            </w:pPr>
            <w:r>
              <w:rPr>
                <w:rFonts w:ascii="Arial" w:cs="Arial" w:eastAsia="Arial" w:hAnsi="Arial"/>
                <w:sz w:val="14"/>
                <w:szCs w:val="14"/>
                <w:color w:val="auto"/>
              </w:rPr>
              <w:t>(2,161,941)</w:t>
            </w:r>
          </w:p>
        </w:tc>
      </w:tr>
      <w:tr>
        <w:trPr>
          <w:trHeight w:val="176"/>
        </w:trPr>
        <w:tc>
          <w:tcPr>
            <w:tcW w:w="3220" w:type="dxa"/>
            <w:vAlign w:val="bottom"/>
            <w:shd w:val="clear" w:color="auto" w:fill="EEFAEC"/>
          </w:tcPr>
          <w:p>
            <w:pPr>
              <w:ind w:left="60"/>
              <w:spacing w:after="0"/>
              <w:rPr>
                <w:sz w:val="20"/>
                <w:szCs w:val="20"/>
                <w:color w:val="auto"/>
              </w:rPr>
            </w:pPr>
            <w:r>
              <w:rPr>
                <w:rFonts w:ascii="Arial" w:cs="Arial" w:eastAsia="Arial" w:hAnsi="Arial"/>
                <w:sz w:val="14"/>
                <w:szCs w:val="14"/>
                <w:color w:val="auto"/>
              </w:rPr>
              <w:t>Year-end to Vesting Date of Awards Granted</w:t>
            </w:r>
          </w:p>
        </w:tc>
        <w:tc>
          <w:tcPr>
            <w:tcW w:w="920" w:type="dxa"/>
            <w:vAlign w:val="bottom"/>
            <w:shd w:val="clear" w:color="auto" w:fill="EEFAEC"/>
          </w:tcPr>
          <w:p>
            <w:pPr>
              <w:spacing w:after="0"/>
              <w:rPr>
                <w:sz w:val="15"/>
                <w:szCs w:val="15"/>
                <w:color w:val="auto"/>
              </w:rPr>
            </w:pPr>
          </w:p>
        </w:tc>
        <w:tc>
          <w:tcPr>
            <w:tcW w:w="880" w:type="dxa"/>
            <w:vAlign w:val="bottom"/>
            <w:shd w:val="clear" w:color="auto" w:fill="EEFAEC"/>
          </w:tcPr>
          <w:p>
            <w:pPr>
              <w:spacing w:after="0"/>
              <w:rPr>
                <w:sz w:val="15"/>
                <w:szCs w:val="15"/>
                <w:color w:val="auto"/>
              </w:rPr>
            </w:pPr>
          </w:p>
        </w:tc>
        <w:tc>
          <w:tcPr>
            <w:tcW w:w="920" w:type="dxa"/>
            <w:vAlign w:val="bottom"/>
            <w:shd w:val="clear" w:color="auto" w:fill="EEFAEC"/>
          </w:tcPr>
          <w:p>
            <w:pPr>
              <w:spacing w:after="0"/>
              <w:rPr>
                <w:sz w:val="15"/>
                <w:szCs w:val="15"/>
                <w:color w:val="auto"/>
              </w:rPr>
            </w:pPr>
          </w:p>
        </w:tc>
        <w:tc>
          <w:tcPr>
            <w:tcW w:w="860" w:type="dxa"/>
            <w:vAlign w:val="bottom"/>
            <w:shd w:val="clear" w:color="auto" w:fill="EEFAEC"/>
          </w:tcPr>
          <w:p>
            <w:pPr>
              <w:spacing w:after="0"/>
              <w:rPr>
                <w:sz w:val="15"/>
                <w:szCs w:val="15"/>
                <w:color w:val="auto"/>
              </w:rPr>
            </w:pPr>
          </w:p>
        </w:tc>
        <w:tc>
          <w:tcPr>
            <w:tcW w:w="840" w:type="dxa"/>
            <w:vAlign w:val="bottom"/>
            <w:shd w:val="clear" w:color="auto" w:fill="EEFAEC"/>
          </w:tcPr>
          <w:p>
            <w:pPr>
              <w:spacing w:after="0"/>
              <w:rPr>
                <w:sz w:val="15"/>
                <w:szCs w:val="15"/>
                <w:color w:val="auto"/>
              </w:rPr>
            </w:pPr>
          </w:p>
        </w:tc>
        <w:tc>
          <w:tcPr>
            <w:tcW w:w="840" w:type="dxa"/>
            <w:vAlign w:val="bottom"/>
            <w:shd w:val="clear" w:color="auto" w:fill="EEFAEC"/>
          </w:tcPr>
          <w:p>
            <w:pPr>
              <w:spacing w:after="0"/>
              <w:rPr>
                <w:sz w:val="15"/>
                <w:szCs w:val="15"/>
                <w:color w:val="auto"/>
              </w:rPr>
            </w:pPr>
          </w:p>
        </w:tc>
      </w:tr>
      <w:tr>
        <w:trPr>
          <w:trHeight w:val="217"/>
        </w:trPr>
        <w:tc>
          <w:tcPr>
            <w:tcW w:w="3220" w:type="dxa"/>
            <w:vAlign w:val="bottom"/>
            <w:tcBorders>
              <w:bottom w:val="single" w:sz="8" w:color="EEFAEC"/>
            </w:tcBorders>
            <w:shd w:val="clear" w:color="auto" w:fill="EEFAEC"/>
          </w:tcPr>
          <w:p>
            <w:pPr>
              <w:ind w:left="60"/>
              <w:spacing w:after="0"/>
              <w:rPr>
                <w:sz w:val="20"/>
                <w:szCs w:val="20"/>
                <w:color w:val="auto"/>
              </w:rPr>
            </w:pPr>
            <w:r>
              <w:rPr>
                <w:rFonts w:ascii="Arial" w:cs="Arial" w:eastAsia="Arial" w:hAnsi="Arial"/>
                <w:sz w:val="14"/>
                <w:szCs w:val="14"/>
                <w:color w:val="auto"/>
              </w:rPr>
              <w:t>Prior to year that Vested during year ($)</w:t>
            </w:r>
          </w:p>
        </w:tc>
        <w:tc>
          <w:tcPr>
            <w:tcW w:w="920" w:type="dxa"/>
            <w:vAlign w:val="bottom"/>
            <w:tcBorders>
              <w:bottom w:val="single" w:sz="8" w:color="EEFAEC"/>
            </w:tcBorders>
            <w:shd w:val="clear" w:color="auto" w:fill="EEFAEC"/>
          </w:tcPr>
          <w:p>
            <w:pPr>
              <w:spacing w:after="0"/>
              <w:rPr>
                <w:sz w:val="18"/>
                <w:szCs w:val="18"/>
                <w:color w:val="auto"/>
              </w:rPr>
            </w:pPr>
          </w:p>
        </w:tc>
        <w:tc>
          <w:tcPr>
            <w:tcW w:w="880" w:type="dxa"/>
            <w:vAlign w:val="bottom"/>
            <w:tcBorders>
              <w:bottom w:val="single" w:sz="8" w:color="EEFAEC"/>
            </w:tcBorders>
            <w:shd w:val="clear" w:color="auto" w:fill="EEFAEC"/>
          </w:tcPr>
          <w:p>
            <w:pPr>
              <w:spacing w:after="0"/>
              <w:rPr>
                <w:sz w:val="18"/>
                <w:szCs w:val="18"/>
                <w:color w:val="auto"/>
              </w:rPr>
            </w:pPr>
          </w:p>
        </w:tc>
        <w:tc>
          <w:tcPr>
            <w:tcW w:w="920" w:type="dxa"/>
            <w:vAlign w:val="bottom"/>
            <w:tcBorders>
              <w:bottom w:val="single" w:sz="8" w:color="EEFAEC"/>
            </w:tcBorders>
            <w:shd w:val="clear" w:color="auto" w:fill="EEFAEC"/>
          </w:tcPr>
          <w:p>
            <w:pPr>
              <w:spacing w:after="0"/>
              <w:rPr>
                <w:sz w:val="18"/>
                <w:szCs w:val="18"/>
                <w:color w:val="auto"/>
              </w:rPr>
            </w:pPr>
          </w:p>
        </w:tc>
        <w:tc>
          <w:tcPr>
            <w:tcW w:w="860" w:type="dxa"/>
            <w:vAlign w:val="bottom"/>
            <w:tcBorders>
              <w:bottom w:val="single" w:sz="8" w:color="EEFAEC"/>
            </w:tcBorders>
            <w:shd w:val="clear" w:color="auto" w:fill="EEFAEC"/>
          </w:tcPr>
          <w:p>
            <w:pPr>
              <w:spacing w:after="0"/>
              <w:rPr>
                <w:sz w:val="18"/>
                <w:szCs w:val="18"/>
                <w:color w:val="auto"/>
              </w:rPr>
            </w:pPr>
          </w:p>
        </w:tc>
        <w:tc>
          <w:tcPr>
            <w:tcW w:w="840" w:type="dxa"/>
            <w:vAlign w:val="bottom"/>
            <w:tcBorders>
              <w:bottom w:val="single" w:sz="8" w:color="EEFAEC"/>
            </w:tcBorders>
            <w:shd w:val="clear" w:color="auto" w:fill="EEFAEC"/>
          </w:tcPr>
          <w:p>
            <w:pPr>
              <w:spacing w:after="0"/>
              <w:rPr>
                <w:sz w:val="18"/>
                <w:szCs w:val="18"/>
                <w:color w:val="auto"/>
              </w:rPr>
            </w:pPr>
          </w:p>
        </w:tc>
        <w:tc>
          <w:tcPr>
            <w:tcW w:w="840" w:type="dxa"/>
            <w:vAlign w:val="bottom"/>
            <w:tcBorders>
              <w:bottom w:val="single" w:sz="8" w:color="EEFAEC"/>
            </w:tcBorders>
            <w:shd w:val="clear" w:color="auto" w:fill="EEFAEC"/>
          </w:tcPr>
          <w:p>
            <w:pPr>
              <w:spacing w:after="0"/>
              <w:rPr>
                <w:sz w:val="18"/>
                <w:szCs w:val="18"/>
                <w:color w:val="auto"/>
              </w:rPr>
            </w:pPr>
          </w:p>
        </w:tc>
      </w:tr>
      <w:tr>
        <w:trPr>
          <w:trHeight w:val="187"/>
        </w:trPr>
        <w:tc>
          <w:tcPr>
            <w:tcW w:w="3220" w:type="dxa"/>
            <w:vAlign w:val="bottom"/>
            <w:tcBorders>
              <w:top w:val="single" w:sz="8" w:color="E6E6E6"/>
            </w:tcBorders>
          </w:tcPr>
          <w:p>
            <w:pPr>
              <w:ind w:left="60"/>
              <w:spacing w:after="0"/>
              <w:rPr>
                <w:sz w:val="20"/>
                <w:szCs w:val="20"/>
                <w:color w:val="auto"/>
              </w:rPr>
            </w:pPr>
            <w:r>
              <w:rPr>
                <w:rFonts w:ascii="Arial" w:cs="Arial" w:eastAsia="Arial" w:hAnsi="Arial"/>
                <w:sz w:val="14"/>
                <w:szCs w:val="14"/>
                <w:color w:val="auto"/>
              </w:rPr>
              <w:t>Deduct: Fair Value of Awards Granted Prior to</w:t>
            </w:r>
          </w:p>
        </w:tc>
        <w:tc>
          <w:tcPr>
            <w:tcW w:w="92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(6,375,034)</w:t>
            </w:r>
          </w:p>
        </w:tc>
        <w:tc>
          <w:tcPr>
            <w:tcW w:w="88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(376,786)</w:t>
            </w:r>
          </w:p>
        </w:tc>
        <w:tc>
          <w:tcPr>
            <w:tcW w:w="92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(1,562,349)</w:t>
            </w:r>
          </w:p>
        </w:tc>
        <w:tc>
          <w:tcPr>
            <w:tcW w:w="86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(1,307,179)</w:t>
            </w:r>
          </w:p>
        </w:tc>
        <w:tc>
          <w:tcPr>
            <w:tcW w:w="840" w:type="dxa"/>
            <w:vAlign w:val="bottom"/>
            <w:tcBorders>
              <w:top w:val="single" w:sz="8" w:color="E6E6E6"/>
            </w:tcBorders>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3220" w:type="dxa"/>
            <w:vAlign w:val="bottom"/>
            <w:tcBorders>
              <w:bottom w:val="single" w:sz="8" w:color="E6E6E6"/>
            </w:tcBorders>
          </w:tcPr>
          <w:p>
            <w:pPr>
              <w:ind w:left="60"/>
              <w:spacing w:after="0"/>
              <w:rPr>
                <w:sz w:val="20"/>
                <w:szCs w:val="20"/>
                <w:color w:val="auto"/>
              </w:rPr>
            </w:pPr>
            <w:r>
              <w:rPr>
                <w:rFonts w:ascii="Arial" w:cs="Arial" w:eastAsia="Arial" w:hAnsi="Arial"/>
                <w:sz w:val="14"/>
                <w:szCs w:val="14"/>
                <w:color w:val="auto"/>
              </w:rPr>
              <w:t>year that were Forfeited during year ($)</w:t>
            </w:r>
          </w:p>
        </w:tc>
        <w:tc>
          <w:tcPr>
            <w:tcW w:w="920" w:type="dxa"/>
            <w:vAlign w:val="bottom"/>
            <w:tcBorders>
              <w:bottom w:val="single" w:sz="8" w:color="E6E6E6"/>
            </w:tcBorders>
          </w:tcPr>
          <w:p>
            <w:pPr>
              <w:spacing w:after="0"/>
              <w:rPr>
                <w:sz w:val="16"/>
                <w:szCs w:val="16"/>
                <w:color w:val="auto"/>
              </w:rPr>
            </w:pPr>
          </w:p>
        </w:tc>
        <w:tc>
          <w:tcPr>
            <w:tcW w:w="880" w:type="dxa"/>
            <w:vAlign w:val="bottom"/>
            <w:tcBorders>
              <w:bottom w:val="single" w:sz="8" w:color="E6E6E6"/>
            </w:tcBorders>
          </w:tcPr>
          <w:p>
            <w:pPr>
              <w:spacing w:after="0"/>
              <w:rPr>
                <w:sz w:val="16"/>
                <w:szCs w:val="16"/>
                <w:color w:val="auto"/>
              </w:rPr>
            </w:pPr>
          </w:p>
        </w:tc>
        <w:tc>
          <w:tcPr>
            <w:tcW w:w="920" w:type="dxa"/>
            <w:vAlign w:val="bottom"/>
            <w:tcBorders>
              <w:bottom w:val="single" w:sz="8" w:color="E6E6E6"/>
            </w:tcBorders>
          </w:tcPr>
          <w:p>
            <w:pPr>
              <w:spacing w:after="0"/>
              <w:rPr>
                <w:sz w:val="16"/>
                <w:szCs w:val="16"/>
                <w:color w:val="auto"/>
              </w:rPr>
            </w:pPr>
          </w:p>
        </w:tc>
        <w:tc>
          <w:tcPr>
            <w:tcW w:w="86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r>
      <w:tr>
        <w:trPr>
          <w:trHeight w:val="196"/>
        </w:trPr>
        <w:tc>
          <w:tcPr>
            <w:tcW w:w="3220" w:type="dxa"/>
            <w:vAlign w:val="bottom"/>
            <w:tcBorders>
              <w:bottom w:val="single" w:sz="8" w:color="431C5B"/>
            </w:tcBorders>
            <w:shd w:val="clear" w:color="auto" w:fill="EEFAEC"/>
          </w:tcPr>
          <w:p>
            <w:pPr>
              <w:ind w:left="60"/>
              <w:spacing w:after="0"/>
              <w:rPr>
                <w:sz w:val="20"/>
                <w:szCs w:val="20"/>
                <w:color w:val="auto"/>
              </w:rPr>
            </w:pPr>
            <w:r>
              <w:rPr>
                <w:rFonts w:ascii="Arial" w:cs="Arial" w:eastAsia="Arial" w:hAnsi="Arial"/>
                <w:sz w:val="14"/>
                <w:szCs w:val="14"/>
                <w:color w:val="auto"/>
              </w:rPr>
              <w:t>Compensation Actually Paid ($)</w:t>
            </w:r>
          </w:p>
        </w:tc>
        <w:tc>
          <w:tcPr>
            <w:tcW w:w="92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4"/>
                <w:szCs w:val="14"/>
                <w:color w:val="auto"/>
              </w:rPr>
              <w:t>(110,502)</w:t>
            </w:r>
          </w:p>
        </w:tc>
        <w:tc>
          <w:tcPr>
            <w:tcW w:w="880" w:type="dxa"/>
            <w:vAlign w:val="bottom"/>
            <w:tcBorders>
              <w:bottom w:val="single" w:sz="8" w:color="431C5B"/>
            </w:tcBorders>
            <w:shd w:val="clear" w:color="auto" w:fill="EEFAEC"/>
          </w:tcPr>
          <w:p>
            <w:pPr>
              <w:jc w:val="right"/>
              <w:ind w:right="30"/>
              <w:spacing w:after="0"/>
              <w:rPr>
                <w:sz w:val="20"/>
                <w:szCs w:val="20"/>
                <w:color w:val="auto"/>
              </w:rPr>
            </w:pPr>
            <w:r>
              <w:rPr>
                <w:rFonts w:ascii="Arial" w:cs="Arial" w:eastAsia="Arial" w:hAnsi="Arial"/>
                <w:sz w:val="14"/>
                <w:szCs w:val="14"/>
                <w:color w:val="auto"/>
              </w:rPr>
              <w:t>19,650,428</w:t>
            </w:r>
          </w:p>
        </w:tc>
        <w:tc>
          <w:tcPr>
            <w:tcW w:w="920" w:type="dxa"/>
            <w:vAlign w:val="bottom"/>
            <w:tcBorders>
              <w:bottom w:val="single" w:sz="8" w:color="431C5B"/>
            </w:tcBorders>
            <w:shd w:val="clear" w:color="auto" w:fill="EEFAEC"/>
          </w:tcPr>
          <w:p>
            <w:pPr>
              <w:jc w:val="right"/>
              <w:ind w:right="30"/>
              <w:spacing w:after="0"/>
              <w:rPr>
                <w:sz w:val="20"/>
                <w:szCs w:val="20"/>
                <w:color w:val="auto"/>
              </w:rPr>
            </w:pPr>
            <w:r>
              <w:rPr>
                <w:rFonts w:ascii="Arial" w:cs="Arial" w:eastAsia="Arial" w:hAnsi="Arial"/>
                <w:sz w:val="14"/>
                <w:szCs w:val="14"/>
                <w:color w:val="auto"/>
              </w:rPr>
              <w:t>3,210,304</w:t>
            </w:r>
          </w:p>
        </w:tc>
        <w:tc>
          <w:tcPr>
            <w:tcW w:w="860" w:type="dxa"/>
            <w:vAlign w:val="bottom"/>
            <w:tcBorders>
              <w:bottom w:val="single" w:sz="8" w:color="431C5B"/>
            </w:tcBorders>
            <w:shd w:val="clear" w:color="auto" w:fill="EEFAEC"/>
          </w:tcPr>
          <w:p>
            <w:pPr>
              <w:jc w:val="right"/>
              <w:ind w:right="30"/>
              <w:spacing w:after="0"/>
              <w:rPr>
                <w:sz w:val="20"/>
                <w:szCs w:val="20"/>
                <w:color w:val="auto"/>
              </w:rPr>
            </w:pPr>
            <w:r>
              <w:rPr>
                <w:rFonts w:ascii="Arial" w:cs="Arial" w:eastAsia="Arial" w:hAnsi="Arial"/>
                <w:sz w:val="14"/>
                <w:szCs w:val="14"/>
                <w:color w:val="auto"/>
              </w:rPr>
              <w:t>14,340,414</w:t>
            </w:r>
          </w:p>
        </w:tc>
        <w:tc>
          <w:tcPr>
            <w:tcW w:w="840" w:type="dxa"/>
            <w:vAlign w:val="bottom"/>
            <w:tcBorders>
              <w:bottom w:val="single" w:sz="8" w:color="431C5B"/>
            </w:tcBorders>
            <w:shd w:val="clear" w:color="auto" w:fill="EEFAEC"/>
          </w:tcPr>
          <w:p>
            <w:pPr>
              <w:jc w:val="right"/>
              <w:ind w:right="10"/>
              <w:spacing w:after="0"/>
              <w:rPr>
                <w:sz w:val="20"/>
                <w:szCs w:val="20"/>
                <w:color w:val="auto"/>
              </w:rPr>
            </w:pPr>
            <w:r>
              <w:rPr>
                <w:rFonts w:ascii="Arial" w:cs="Arial" w:eastAsia="Arial" w:hAnsi="Arial"/>
                <w:sz w:val="14"/>
                <w:szCs w:val="14"/>
                <w:color w:val="auto"/>
              </w:rPr>
              <w:t>33,854,155</w:t>
            </w:r>
          </w:p>
        </w:tc>
        <w:tc>
          <w:tcPr>
            <w:tcW w:w="84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4"/>
                <w:szCs w:val="14"/>
                <w:color w:val="auto"/>
              </w:rPr>
              <w:t>21,626,368</w:t>
            </w:r>
          </w:p>
        </w:tc>
      </w:tr>
    </w:tbl>
    <w:p>
      <w:pPr>
        <w:spacing w:after="0" w:line="212" w:lineRule="exact"/>
        <w:rPr>
          <w:sz w:val="20"/>
          <w:szCs w:val="20"/>
          <w:color w:val="auto"/>
        </w:rPr>
      </w:pPr>
    </w:p>
    <w:p>
      <w:pPr>
        <w:ind w:left="640" w:right="139" w:hanging="251"/>
        <w:spacing w:after="0" w:line="264" w:lineRule="auto"/>
        <w:tabs>
          <w:tab w:leader="none" w:pos="64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Categories with no values are excluded from the table above, which include: deduction for change in the actuarial present values, increase for service cost for pension plans, increase for prior service cost for pension plans, increase based upon incremental fair value of awards modified during year, and increase based on dividends or other earnings paid during year prior to the vesting date of an award. The fair value of the stock options was determined using the Black-Scholes option pricing model. Adjustments have been made using stock option fair values as of each measurement date using the stock price, term, volatility, dividend yield, and risk-free rate as of the measurement date. The fair value of performance stock units with market condition was determined using the Monte Carlo model. The fair value of the performance stock units without market condition was determined using the stock price at each measurement date and is based on (i) actual achievement of performance conditions for performance period completed or (ii) probable outcome of performance conditions as of each measurement date for performance periods not completed. For the fair value of time-vested restricted stock units, grant date fair values are based on stock price as of each measurement date. The fair value calculation used herein is consistent with the fair value methodology used to account for share-based payments in our financial statements.</w:t>
      </w:r>
    </w:p>
    <w:p>
      <w:pPr>
        <w:spacing w:after="0" w:line="22" w:lineRule="exact"/>
        <w:rPr>
          <w:rFonts w:ascii="Arial" w:cs="Arial" w:eastAsia="Arial" w:hAnsi="Arial"/>
          <w:sz w:val="13"/>
          <w:szCs w:val="13"/>
          <w:color w:val="auto"/>
        </w:rPr>
      </w:pPr>
    </w:p>
    <w:p>
      <w:pPr>
        <w:ind w:left="380" w:hanging="250"/>
        <w:spacing w:after="0"/>
        <w:tabs>
          <w:tab w:leader="none" w:pos="380" w:val="left"/>
        </w:tabs>
        <w:numPr>
          <w:ilvl w:val="0"/>
          <w:numId w:val="120"/>
        </w:numPr>
        <w:rPr>
          <w:rFonts w:ascii="Arial" w:cs="Arial" w:eastAsia="Arial" w:hAnsi="Arial"/>
          <w:sz w:val="16"/>
          <w:szCs w:val="16"/>
          <w:color w:val="auto"/>
          <w:vertAlign w:val="superscript"/>
        </w:rPr>
      </w:pPr>
      <w:r>
        <w:rPr>
          <w:rFonts w:ascii="Arial" w:cs="Arial" w:eastAsia="Arial" w:hAnsi="Arial"/>
          <w:sz w:val="13"/>
          <w:szCs w:val="13"/>
          <w:color w:val="auto"/>
        </w:rPr>
        <w:t>2025 reflects the average compensation information for Messrs. Kehoe, Bhathena and Toohey and Ms. Tsai.</w:t>
      </w:r>
    </w:p>
    <w:p>
      <w:pPr>
        <w:spacing w:after="0" w:line="56" w:lineRule="exact"/>
        <w:rPr>
          <w:rFonts w:ascii="Arial" w:cs="Arial" w:eastAsia="Arial" w:hAnsi="Arial"/>
          <w:sz w:val="16"/>
          <w:szCs w:val="16"/>
          <w:color w:val="auto"/>
          <w:vertAlign w:val="superscript"/>
        </w:rPr>
      </w:pPr>
    </w:p>
    <w:p>
      <w:pPr>
        <w:ind w:left="380" w:hanging="250"/>
        <w:spacing w:after="0" w:line="207" w:lineRule="auto"/>
        <w:tabs>
          <w:tab w:leader="none" w:pos="380" w:val="left"/>
        </w:tabs>
        <w:numPr>
          <w:ilvl w:val="0"/>
          <w:numId w:val="120"/>
        </w:numPr>
        <w:rPr>
          <w:rFonts w:ascii="Arial" w:cs="Arial" w:eastAsia="Arial" w:hAnsi="Arial"/>
          <w:sz w:val="16"/>
          <w:szCs w:val="16"/>
          <w:color w:val="auto"/>
          <w:vertAlign w:val="superscript"/>
        </w:rPr>
      </w:pPr>
      <w:r>
        <w:rPr>
          <w:rFonts w:ascii="Arial" w:cs="Arial" w:eastAsia="Arial" w:hAnsi="Arial"/>
          <w:sz w:val="13"/>
          <w:szCs w:val="13"/>
          <w:color w:val="auto"/>
        </w:rPr>
        <w:t>2024 reflects the average compensation information for Mses. Tsai and Williams, Messrs. Kehoe and Bhathena.</w:t>
      </w:r>
    </w:p>
    <w:p>
      <w:pPr>
        <w:spacing w:after="0" w:line="57" w:lineRule="exact"/>
        <w:rPr>
          <w:rFonts w:ascii="Arial" w:cs="Arial" w:eastAsia="Arial" w:hAnsi="Arial"/>
          <w:sz w:val="16"/>
          <w:szCs w:val="16"/>
          <w:color w:val="auto"/>
          <w:vertAlign w:val="superscript"/>
        </w:rPr>
      </w:pPr>
    </w:p>
    <w:p>
      <w:pPr>
        <w:ind w:left="380" w:hanging="250"/>
        <w:spacing w:after="0" w:line="207" w:lineRule="auto"/>
        <w:tabs>
          <w:tab w:leader="none" w:pos="380" w:val="left"/>
        </w:tabs>
        <w:numPr>
          <w:ilvl w:val="0"/>
          <w:numId w:val="120"/>
        </w:numPr>
        <w:rPr>
          <w:rFonts w:ascii="Arial" w:cs="Arial" w:eastAsia="Arial" w:hAnsi="Arial"/>
          <w:sz w:val="16"/>
          <w:szCs w:val="16"/>
          <w:color w:val="auto"/>
          <w:vertAlign w:val="superscript"/>
        </w:rPr>
      </w:pPr>
      <w:r>
        <w:rPr>
          <w:rFonts w:ascii="Arial" w:cs="Arial" w:eastAsia="Arial" w:hAnsi="Arial"/>
          <w:sz w:val="13"/>
          <w:szCs w:val="13"/>
          <w:color w:val="auto"/>
        </w:rPr>
        <w:t>2023 reflects the average compensation information for Mses. Tsai and Williams, Messrs. Gileadi, Hoag and Kehoe.</w:t>
      </w:r>
    </w:p>
    <w:p>
      <w:pPr>
        <w:spacing w:after="0" w:line="57" w:lineRule="exact"/>
        <w:rPr>
          <w:rFonts w:ascii="Arial" w:cs="Arial" w:eastAsia="Arial" w:hAnsi="Arial"/>
          <w:sz w:val="16"/>
          <w:szCs w:val="16"/>
          <w:color w:val="auto"/>
          <w:vertAlign w:val="superscript"/>
        </w:rPr>
      </w:pPr>
    </w:p>
    <w:p>
      <w:pPr>
        <w:ind w:left="380" w:hanging="250"/>
        <w:spacing w:after="0" w:line="225" w:lineRule="auto"/>
        <w:tabs>
          <w:tab w:leader="none" w:pos="380" w:val="left"/>
        </w:tabs>
        <w:numPr>
          <w:ilvl w:val="0"/>
          <w:numId w:val="120"/>
        </w:numPr>
        <w:rPr>
          <w:rFonts w:ascii="Arial" w:cs="Arial" w:eastAsia="Arial" w:hAnsi="Arial"/>
          <w:sz w:val="16"/>
          <w:szCs w:val="16"/>
          <w:color w:val="auto"/>
          <w:vertAlign w:val="superscript"/>
        </w:rPr>
      </w:pPr>
      <w:r>
        <w:rPr>
          <w:rFonts w:ascii="Arial" w:cs="Arial" w:eastAsia="Arial" w:hAnsi="Arial"/>
          <w:sz w:val="13"/>
          <w:szCs w:val="13"/>
          <w:color w:val="auto"/>
        </w:rPr>
        <w:t>2022 reflects the average compensation information for Mses. Tsai and Williams, Messrs. Gileadi, Hoag and Woodall.</w:t>
      </w:r>
    </w:p>
    <w:p>
      <w:pPr>
        <w:spacing w:after="0" w:line="43" w:lineRule="exact"/>
        <w:rPr>
          <w:rFonts w:ascii="Arial" w:cs="Arial" w:eastAsia="Arial" w:hAnsi="Arial"/>
          <w:sz w:val="16"/>
          <w:szCs w:val="16"/>
          <w:color w:val="auto"/>
          <w:vertAlign w:val="superscript"/>
        </w:rPr>
      </w:pPr>
    </w:p>
    <w:p>
      <w:pPr>
        <w:ind w:left="380" w:hanging="250"/>
        <w:spacing w:after="0" w:line="225" w:lineRule="auto"/>
        <w:tabs>
          <w:tab w:leader="none" w:pos="380" w:val="left"/>
        </w:tabs>
        <w:numPr>
          <w:ilvl w:val="0"/>
          <w:numId w:val="120"/>
        </w:numPr>
        <w:rPr>
          <w:rFonts w:ascii="Arial" w:cs="Arial" w:eastAsia="Arial" w:hAnsi="Arial"/>
          <w:sz w:val="16"/>
          <w:szCs w:val="16"/>
          <w:color w:val="auto"/>
          <w:vertAlign w:val="superscript"/>
        </w:rPr>
      </w:pPr>
      <w:r>
        <w:rPr>
          <w:rFonts w:ascii="Arial" w:cs="Arial" w:eastAsia="Arial" w:hAnsi="Arial"/>
          <w:sz w:val="13"/>
          <w:szCs w:val="13"/>
          <w:color w:val="auto"/>
        </w:rPr>
        <w:t>2021 reflects the average compensation information for Ms. Ferris, Messrs. Boyd, Lowthers, Ramji and Woodall.</w:t>
      </w:r>
    </w:p>
    <w:p>
      <w:pPr>
        <w:spacing w:after="0" w:line="50" w:lineRule="exact"/>
        <w:rPr>
          <w:rFonts w:ascii="Arial" w:cs="Arial" w:eastAsia="Arial" w:hAnsi="Arial"/>
          <w:sz w:val="16"/>
          <w:szCs w:val="16"/>
          <w:color w:val="auto"/>
          <w:vertAlign w:val="superscript"/>
        </w:rPr>
      </w:pPr>
    </w:p>
    <w:p>
      <w:pPr>
        <w:ind w:left="380" w:right="159" w:hanging="250"/>
        <w:spacing w:after="0" w:line="270" w:lineRule="auto"/>
        <w:tabs>
          <w:tab w:leader="none" w:pos="380" w:val="left"/>
        </w:tabs>
        <w:numPr>
          <w:ilvl w:val="0"/>
          <w:numId w:val="120"/>
        </w:numPr>
        <w:rPr>
          <w:rFonts w:ascii="Arial" w:cs="Arial" w:eastAsia="Arial" w:hAnsi="Arial"/>
          <w:sz w:val="15"/>
          <w:szCs w:val="15"/>
          <w:color w:val="auto"/>
          <w:vertAlign w:val="superscript"/>
        </w:rPr>
      </w:pPr>
      <w:r>
        <w:rPr>
          <w:rFonts w:ascii="Arial" w:cs="Arial" w:eastAsia="Arial" w:hAnsi="Arial"/>
          <w:sz w:val="12"/>
          <w:szCs w:val="12"/>
          <w:color w:val="auto"/>
        </w:rPr>
        <w:t>“Average Compensation Actually Paid” to the Non-PEO NEOs listed above in each of 2025, 2024, 2023, 2022 and 2021 reflects the average amount set forth in column (d) of the table above, adjusted as set forth in the table below as determined in accordance with the applicable SEC rules.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83</w:t>
      </w:r>
    </w:p>
    <w:p>
      <w:pPr>
        <w:sectPr>
          <w:pgSz w:w="11900" w:h="16838" w:orient="portrait"/>
          <w:cols w:equalWidth="0" w:num="1">
            <w:col w:w="9019"/>
          </w:cols>
          <w:pgMar w:left="1440" w:top="657" w:right="1440" w:bottom="1440" w:gutter="0" w:footer="0" w:header="0"/>
          <w:type w:val="continuous"/>
        </w:sectPr>
      </w:pPr>
    </w:p>
    <w:bookmarkStart w:id="86" w:name="page87"/>
    <w:bookmarkEnd w:id="86"/>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200" w:lineRule="exact"/>
        <w:rPr>
          <w:sz w:val="20"/>
          <w:szCs w:val="20"/>
          <w:color w:val="auto"/>
        </w:rPr>
      </w:pPr>
    </w:p>
    <w:p>
      <w:pPr>
        <w:spacing w:after="0" w:line="291"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880" w:type="dxa"/>
            <w:vAlign w:val="bottom"/>
          </w:tcPr>
          <w:p>
            <w:pPr>
              <w:jc w:val="right"/>
              <w:ind w:right="10"/>
              <w:spacing w:after="0"/>
              <w:rPr>
                <w:sz w:val="20"/>
                <w:szCs w:val="20"/>
                <w:color w:val="auto"/>
              </w:rPr>
            </w:pPr>
            <w:r>
              <w:rPr>
                <w:rFonts w:ascii="Arial" w:cs="Arial" w:eastAsia="Arial" w:hAnsi="Arial"/>
                <w:sz w:val="13"/>
                <w:szCs w:val="13"/>
                <w:b w:val="1"/>
                <w:bCs w:val="1"/>
                <w:color w:val="431C5B"/>
              </w:rPr>
              <w:t>2021</w:t>
            </w:r>
          </w:p>
        </w:tc>
        <w:tc>
          <w:tcPr>
            <w:tcW w:w="860" w:type="dxa"/>
            <w:vAlign w:val="bottom"/>
          </w:tcPr>
          <w:p>
            <w:pPr>
              <w:jc w:val="right"/>
              <w:ind w:right="30"/>
              <w:spacing w:after="0"/>
              <w:rPr>
                <w:sz w:val="20"/>
                <w:szCs w:val="20"/>
                <w:color w:val="auto"/>
              </w:rPr>
            </w:pPr>
            <w:r>
              <w:rPr>
                <w:rFonts w:ascii="Arial" w:cs="Arial" w:eastAsia="Arial" w:hAnsi="Arial"/>
                <w:sz w:val="13"/>
                <w:szCs w:val="13"/>
                <w:b w:val="1"/>
                <w:bCs w:val="1"/>
                <w:color w:val="431C5B"/>
              </w:rPr>
              <w:t>2022</w:t>
            </w:r>
          </w:p>
        </w:tc>
        <w:tc>
          <w:tcPr>
            <w:tcW w:w="840" w:type="dxa"/>
            <w:vAlign w:val="bottom"/>
          </w:tcPr>
          <w:p>
            <w:pPr>
              <w:jc w:val="right"/>
              <w:ind w:right="10"/>
              <w:spacing w:after="0"/>
              <w:rPr>
                <w:sz w:val="20"/>
                <w:szCs w:val="20"/>
                <w:color w:val="auto"/>
              </w:rPr>
            </w:pPr>
            <w:r>
              <w:rPr>
                <w:rFonts w:ascii="Arial" w:cs="Arial" w:eastAsia="Arial" w:hAnsi="Arial"/>
                <w:sz w:val="13"/>
                <w:szCs w:val="13"/>
                <w:b w:val="1"/>
                <w:bCs w:val="1"/>
                <w:color w:val="431C5B"/>
              </w:rPr>
              <w:t>2023</w:t>
            </w:r>
          </w:p>
        </w:tc>
        <w:tc>
          <w:tcPr>
            <w:tcW w:w="860" w:type="dxa"/>
            <w:vAlign w:val="bottom"/>
          </w:tcPr>
          <w:p>
            <w:pPr>
              <w:jc w:val="right"/>
              <w:ind w:right="30"/>
              <w:spacing w:after="0"/>
              <w:rPr>
                <w:sz w:val="20"/>
                <w:szCs w:val="20"/>
                <w:color w:val="auto"/>
              </w:rPr>
            </w:pPr>
            <w:r>
              <w:rPr>
                <w:rFonts w:ascii="Arial" w:cs="Arial" w:eastAsia="Arial" w:hAnsi="Arial"/>
                <w:sz w:val="13"/>
                <w:szCs w:val="13"/>
                <w:b w:val="1"/>
                <w:bCs w:val="1"/>
                <w:color w:val="431C5B"/>
              </w:rPr>
              <w:t>2024</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431C5B"/>
              </w:rPr>
              <w:t>2025</w:t>
            </w:r>
          </w:p>
        </w:tc>
      </w:tr>
      <w:tr>
        <w:trPr>
          <w:trHeight w:val="166"/>
        </w:trPr>
        <w:tc>
          <w:tcPr>
            <w:tcW w:w="4240" w:type="dxa"/>
            <w:vAlign w:val="bottom"/>
          </w:tcPr>
          <w:p>
            <w:pPr>
              <w:ind w:left="60"/>
              <w:spacing w:after="0"/>
              <w:rPr>
                <w:sz w:val="20"/>
                <w:szCs w:val="20"/>
                <w:color w:val="auto"/>
              </w:rPr>
            </w:pPr>
            <w:r>
              <w:rPr>
                <w:rFonts w:ascii="Arial" w:cs="Arial" w:eastAsia="Arial" w:hAnsi="Arial"/>
                <w:sz w:val="13"/>
                <w:szCs w:val="13"/>
                <w:b w:val="1"/>
                <w:bCs w:val="1"/>
                <w:color w:val="431C5B"/>
              </w:rPr>
              <w:t>Year</w:t>
            </w:r>
          </w:p>
        </w:tc>
        <w:tc>
          <w:tcPr>
            <w:tcW w:w="880" w:type="dxa"/>
            <w:vAlign w:val="bottom"/>
            <w:tcBorders>
              <w:bottom w:val="single" w:sz="8" w:color="431C5B"/>
            </w:tcBorders>
          </w:tcPr>
          <w:p>
            <w:pPr>
              <w:jc w:val="right"/>
              <w:ind w:right="10"/>
              <w:spacing w:after="0"/>
              <w:rPr>
                <w:sz w:val="20"/>
                <w:szCs w:val="20"/>
                <w:color w:val="auto"/>
              </w:rPr>
            </w:pPr>
            <w:r>
              <w:rPr>
                <w:rFonts w:ascii="Arial" w:cs="Arial" w:eastAsia="Arial" w:hAnsi="Arial"/>
                <w:sz w:val="13"/>
                <w:szCs w:val="13"/>
                <w:b w:val="1"/>
                <w:bCs w:val="1"/>
                <w:color w:val="431C5B"/>
              </w:rPr>
              <w:t>Average</w:t>
            </w:r>
          </w:p>
        </w:tc>
        <w:tc>
          <w:tcPr>
            <w:tcW w:w="860" w:type="dxa"/>
            <w:vAlign w:val="bottom"/>
            <w:tcBorders>
              <w:bottom w:val="single" w:sz="8" w:color="431C5B"/>
            </w:tcBorders>
          </w:tcPr>
          <w:p>
            <w:pPr>
              <w:jc w:val="right"/>
              <w:ind w:right="30"/>
              <w:spacing w:after="0"/>
              <w:rPr>
                <w:sz w:val="20"/>
                <w:szCs w:val="20"/>
                <w:color w:val="auto"/>
              </w:rPr>
            </w:pPr>
            <w:r>
              <w:rPr>
                <w:rFonts w:ascii="Arial" w:cs="Arial" w:eastAsia="Arial" w:hAnsi="Arial"/>
                <w:sz w:val="13"/>
                <w:szCs w:val="13"/>
                <w:b w:val="1"/>
                <w:bCs w:val="1"/>
                <w:color w:val="431C5B"/>
              </w:rPr>
              <w:t>Average</w:t>
            </w:r>
          </w:p>
        </w:tc>
        <w:tc>
          <w:tcPr>
            <w:tcW w:w="840" w:type="dxa"/>
            <w:vAlign w:val="bottom"/>
            <w:tcBorders>
              <w:bottom w:val="single" w:sz="8" w:color="431C5B"/>
            </w:tcBorders>
          </w:tcPr>
          <w:p>
            <w:pPr>
              <w:jc w:val="right"/>
              <w:ind w:right="10"/>
              <w:spacing w:after="0"/>
              <w:rPr>
                <w:sz w:val="20"/>
                <w:szCs w:val="20"/>
                <w:color w:val="auto"/>
              </w:rPr>
            </w:pPr>
            <w:r>
              <w:rPr>
                <w:rFonts w:ascii="Arial" w:cs="Arial" w:eastAsia="Arial" w:hAnsi="Arial"/>
                <w:sz w:val="13"/>
                <w:szCs w:val="13"/>
                <w:b w:val="1"/>
                <w:bCs w:val="1"/>
                <w:color w:val="431C5B"/>
              </w:rPr>
              <w:t>Average</w:t>
            </w:r>
          </w:p>
        </w:tc>
        <w:tc>
          <w:tcPr>
            <w:tcW w:w="860" w:type="dxa"/>
            <w:vAlign w:val="bottom"/>
            <w:tcBorders>
              <w:bottom w:val="single" w:sz="8" w:color="431C5B"/>
            </w:tcBorders>
          </w:tcPr>
          <w:p>
            <w:pPr>
              <w:jc w:val="right"/>
              <w:ind w:right="30"/>
              <w:spacing w:after="0"/>
              <w:rPr>
                <w:sz w:val="20"/>
                <w:szCs w:val="20"/>
                <w:color w:val="auto"/>
              </w:rPr>
            </w:pPr>
            <w:r>
              <w:rPr>
                <w:rFonts w:ascii="Arial" w:cs="Arial" w:eastAsia="Arial" w:hAnsi="Arial"/>
                <w:sz w:val="13"/>
                <w:szCs w:val="13"/>
                <w:b w:val="1"/>
                <w:bCs w:val="1"/>
                <w:color w:val="431C5B"/>
              </w:rPr>
              <w:t>Average</w:t>
            </w:r>
          </w:p>
        </w:tc>
        <w:tc>
          <w:tcPr>
            <w:tcW w:w="80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Average</w:t>
            </w:r>
          </w:p>
        </w:tc>
      </w:tr>
      <w:tr>
        <w:trPr>
          <w:trHeight w:val="183"/>
        </w:trPr>
        <w:tc>
          <w:tcPr>
            <w:tcW w:w="4240" w:type="dxa"/>
            <w:vAlign w:val="bottom"/>
            <w:tcBorders>
              <w:bottom w:val="single" w:sz="8" w:color="431C5B"/>
            </w:tcBorders>
          </w:tcPr>
          <w:p>
            <w:pPr>
              <w:ind w:left="60"/>
              <w:spacing w:after="0"/>
              <w:rPr>
                <w:sz w:val="20"/>
                <w:szCs w:val="20"/>
                <w:color w:val="auto"/>
              </w:rPr>
            </w:pPr>
            <w:r>
              <w:rPr>
                <w:rFonts w:ascii="Arial" w:cs="Arial" w:eastAsia="Arial" w:hAnsi="Arial"/>
                <w:sz w:val="13"/>
                <w:szCs w:val="13"/>
                <w:b w:val="1"/>
                <w:bCs w:val="1"/>
                <w:color w:val="431C5B"/>
              </w:rPr>
              <w:t>Non-PEO NEO</w:t>
            </w:r>
          </w:p>
        </w:tc>
        <w:tc>
          <w:tcPr>
            <w:tcW w:w="88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(9)</w:t>
            </w:r>
          </w:p>
        </w:tc>
        <w:tc>
          <w:tcPr>
            <w:tcW w:w="86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(8)</w:t>
            </w:r>
          </w:p>
        </w:tc>
        <w:tc>
          <w:tcPr>
            <w:tcW w:w="84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(7)</w:t>
            </w:r>
          </w:p>
        </w:tc>
        <w:tc>
          <w:tcPr>
            <w:tcW w:w="86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(6)</w:t>
            </w:r>
          </w:p>
        </w:tc>
        <w:tc>
          <w:tcPr>
            <w:tcW w:w="800" w:type="dxa"/>
            <w:vAlign w:val="bottom"/>
            <w:tcBorders>
              <w:bottom w:val="single" w:sz="8" w:color="431C5B"/>
            </w:tcBorders>
          </w:tcPr>
          <w:p>
            <w:pPr>
              <w:jc w:val="right"/>
              <w:spacing w:after="0"/>
              <w:rPr>
                <w:sz w:val="20"/>
                <w:szCs w:val="20"/>
                <w:color w:val="auto"/>
              </w:rPr>
            </w:pPr>
            <w:r>
              <w:rPr>
                <w:rFonts w:ascii="Arial" w:cs="Arial" w:eastAsia="Arial" w:hAnsi="Arial"/>
                <w:sz w:val="13"/>
                <w:szCs w:val="13"/>
                <w:b w:val="1"/>
                <w:bCs w:val="1"/>
                <w:color w:val="431C5B"/>
              </w:rPr>
              <w:t>(5)</w:t>
            </w:r>
          </w:p>
        </w:tc>
      </w:tr>
      <w:tr>
        <w:trPr>
          <w:trHeight w:val="196"/>
        </w:trPr>
        <w:tc>
          <w:tcPr>
            <w:tcW w:w="4240" w:type="dxa"/>
            <w:vAlign w:val="bottom"/>
            <w:tcBorders>
              <w:bottom w:val="single" w:sz="8" w:color="E6E6E6"/>
            </w:tcBorders>
            <w:shd w:val="clear" w:color="auto" w:fill="EEFAEC"/>
          </w:tcPr>
          <w:p>
            <w:pPr>
              <w:ind w:left="60"/>
              <w:spacing w:after="0"/>
              <w:rPr>
                <w:sz w:val="20"/>
                <w:szCs w:val="20"/>
                <w:color w:val="auto"/>
              </w:rPr>
            </w:pPr>
            <w:r>
              <w:rPr>
                <w:rFonts w:ascii="Arial" w:cs="Arial" w:eastAsia="Arial" w:hAnsi="Arial"/>
                <w:sz w:val="14"/>
                <w:szCs w:val="14"/>
                <w:color w:val="auto"/>
              </w:rPr>
              <w:t>SCT Total ($)</w:t>
            </w:r>
          </w:p>
        </w:tc>
        <w:tc>
          <w:tcPr>
            <w:tcW w:w="880" w:type="dxa"/>
            <w:vAlign w:val="bottom"/>
            <w:tcBorders>
              <w:bottom w:val="single" w:sz="8" w:color="E6E6E6"/>
            </w:tcBorders>
            <w:shd w:val="clear" w:color="auto" w:fill="EEFAEC"/>
          </w:tcPr>
          <w:p>
            <w:pPr>
              <w:jc w:val="right"/>
              <w:ind w:right="30"/>
              <w:spacing w:after="0"/>
              <w:rPr>
                <w:sz w:val="20"/>
                <w:szCs w:val="20"/>
                <w:color w:val="auto"/>
              </w:rPr>
            </w:pPr>
            <w:r>
              <w:rPr>
                <w:rFonts w:ascii="Arial" w:cs="Arial" w:eastAsia="Arial" w:hAnsi="Arial"/>
                <w:sz w:val="14"/>
                <w:szCs w:val="14"/>
                <w:color w:val="auto"/>
              </w:rPr>
              <w:t>10,257,289</w:t>
            </w:r>
          </w:p>
        </w:tc>
        <w:tc>
          <w:tcPr>
            <w:tcW w:w="860" w:type="dxa"/>
            <w:vAlign w:val="bottom"/>
            <w:tcBorders>
              <w:bottom w:val="single" w:sz="8" w:color="E6E6E6"/>
            </w:tcBorders>
            <w:shd w:val="clear" w:color="auto" w:fill="EEFAEC"/>
          </w:tcPr>
          <w:p>
            <w:pPr>
              <w:jc w:val="right"/>
              <w:ind w:right="30"/>
              <w:spacing w:after="0"/>
              <w:rPr>
                <w:sz w:val="20"/>
                <w:szCs w:val="20"/>
                <w:color w:val="auto"/>
              </w:rPr>
            </w:pPr>
            <w:r>
              <w:rPr>
                <w:rFonts w:ascii="Arial" w:cs="Arial" w:eastAsia="Arial" w:hAnsi="Arial"/>
                <w:sz w:val="14"/>
                <w:szCs w:val="14"/>
                <w:color w:val="auto"/>
              </w:rPr>
              <w:t>8,545,905</w:t>
            </w:r>
          </w:p>
        </w:tc>
        <w:tc>
          <w:tcPr>
            <w:tcW w:w="840" w:type="dxa"/>
            <w:vAlign w:val="bottom"/>
            <w:tcBorders>
              <w:bottom w:val="single" w:sz="8" w:color="E6E6E6"/>
            </w:tcBorders>
            <w:shd w:val="clear" w:color="auto" w:fill="EEFAEC"/>
          </w:tcPr>
          <w:p>
            <w:pPr>
              <w:jc w:val="right"/>
              <w:ind w:right="50"/>
              <w:spacing w:after="0"/>
              <w:rPr>
                <w:sz w:val="20"/>
                <w:szCs w:val="20"/>
                <w:color w:val="auto"/>
              </w:rPr>
            </w:pPr>
            <w:r>
              <w:rPr>
                <w:rFonts w:ascii="Arial" w:cs="Arial" w:eastAsia="Arial" w:hAnsi="Arial"/>
                <w:sz w:val="14"/>
                <w:szCs w:val="14"/>
                <w:color w:val="auto"/>
              </w:rPr>
              <w:t>6,589,111</w:t>
            </w:r>
          </w:p>
        </w:tc>
        <w:tc>
          <w:tcPr>
            <w:tcW w:w="860" w:type="dxa"/>
            <w:vAlign w:val="bottom"/>
            <w:tcBorders>
              <w:bottom w:val="single" w:sz="8" w:color="E6E6E6"/>
            </w:tcBorders>
            <w:shd w:val="clear" w:color="auto" w:fill="EEFAEC"/>
          </w:tcPr>
          <w:p>
            <w:pPr>
              <w:jc w:val="right"/>
              <w:ind w:right="30"/>
              <w:spacing w:after="0"/>
              <w:rPr>
                <w:sz w:val="20"/>
                <w:szCs w:val="20"/>
                <w:color w:val="auto"/>
              </w:rPr>
            </w:pPr>
            <w:r>
              <w:rPr>
                <w:rFonts w:ascii="Arial" w:cs="Arial" w:eastAsia="Arial" w:hAnsi="Arial"/>
                <w:sz w:val="14"/>
                <w:szCs w:val="14"/>
                <w:color w:val="auto"/>
              </w:rPr>
              <w:t>7,134,815</w:t>
            </w:r>
          </w:p>
        </w:tc>
        <w:tc>
          <w:tcPr>
            <w:tcW w:w="8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4"/>
                <w:szCs w:val="14"/>
                <w:color w:val="auto"/>
              </w:rPr>
              <w:t>6,241,511</w:t>
            </w:r>
          </w:p>
        </w:tc>
      </w:tr>
      <w:tr>
        <w:trPr>
          <w:trHeight w:val="173"/>
        </w:trPr>
        <w:tc>
          <w:tcPr>
            <w:tcW w:w="4240" w:type="dxa"/>
            <w:vAlign w:val="bottom"/>
          </w:tcPr>
          <w:p>
            <w:pPr>
              <w:ind w:left="60"/>
              <w:spacing w:after="0"/>
              <w:rPr>
                <w:sz w:val="20"/>
                <w:szCs w:val="20"/>
                <w:color w:val="auto"/>
              </w:rPr>
            </w:pPr>
            <w:r>
              <w:rPr>
                <w:rFonts w:ascii="Arial" w:cs="Arial" w:eastAsia="Arial" w:hAnsi="Arial"/>
                <w:sz w:val="14"/>
                <w:szCs w:val="14"/>
                <w:color w:val="auto"/>
              </w:rPr>
              <w:t>Deduct: Amounts Reported under the “Stock Awards” Column in</w:t>
            </w:r>
          </w:p>
        </w:tc>
        <w:tc>
          <w:tcPr>
            <w:tcW w:w="880" w:type="dxa"/>
            <w:vAlign w:val="bottom"/>
          </w:tcPr>
          <w:p>
            <w:pPr>
              <w:jc w:val="right"/>
              <w:spacing w:after="0"/>
              <w:rPr>
                <w:sz w:val="20"/>
                <w:szCs w:val="20"/>
                <w:color w:val="auto"/>
              </w:rPr>
            </w:pPr>
            <w:r>
              <w:rPr>
                <w:rFonts w:ascii="Arial" w:cs="Arial" w:eastAsia="Arial" w:hAnsi="Arial"/>
                <w:sz w:val="14"/>
                <w:szCs w:val="14"/>
                <w:color w:val="auto"/>
              </w:rPr>
              <w:t>(3,948,192)</w:t>
            </w:r>
          </w:p>
        </w:tc>
        <w:tc>
          <w:tcPr>
            <w:tcW w:w="860" w:type="dxa"/>
            <w:vAlign w:val="bottom"/>
          </w:tcPr>
          <w:p>
            <w:pPr>
              <w:jc w:val="right"/>
              <w:spacing w:after="0"/>
              <w:rPr>
                <w:sz w:val="20"/>
                <w:szCs w:val="20"/>
                <w:color w:val="auto"/>
              </w:rPr>
            </w:pPr>
            <w:r>
              <w:rPr>
                <w:rFonts w:ascii="Arial" w:cs="Arial" w:eastAsia="Arial" w:hAnsi="Arial"/>
                <w:sz w:val="14"/>
                <w:szCs w:val="14"/>
                <w:color w:val="auto"/>
              </w:rPr>
              <w:t>(5,423,849)</w:t>
            </w:r>
          </w:p>
        </w:tc>
        <w:tc>
          <w:tcPr>
            <w:tcW w:w="840" w:type="dxa"/>
            <w:vAlign w:val="bottom"/>
          </w:tcPr>
          <w:p>
            <w:pPr>
              <w:jc w:val="right"/>
              <w:spacing w:after="0"/>
              <w:rPr>
                <w:sz w:val="20"/>
                <w:szCs w:val="20"/>
                <w:color w:val="auto"/>
              </w:rPr>
            </w:pPr>
            <w:r>
              <w:rPr>
                <w:rFonts w:ascii="Arial" w:cs="Arial" w:eastAsia="Arial" w:hAnsi="Arial"/>
                <w:sz w:val="14"/>
                <w:szCs w:val="14"/>
                <w:color w:val="auto"/>
              </w:rPr>
              <w:t>(3,534,107)</w:t>
            </w:r>
          </w:p>
        </w:tc>
        <w:tc>
          <w:tcPr>
            <w:tcW w:w="860" w:type="dxa"/>
            <w:vAlign w:val="bottom"/>
          </w:tcPr>
          <w:p>
            <w:pPr>
              <w:jc w:val="right"/>
              <w:spacing w:after="0"/>
              <w:rPr>
                <w:sz w:val="20"/>
                <w:szCs w:val="20"/>
                <w:color w:val="auto"/>
              </w:rPr>
            </w:pPr>
            <w:r>
              <w:rPr>
                <w:rFonts w:ascii="Arial" w:cs="Arial" w:eastAsia="Arial" w:hAnsi="Arial"/>
                <w:sz w:val="14"/>
                <w:szCs w:val="14"/>
                <w:color w:val="auto"/>
              </w:rPr>
              <w:t>(4,768,787)</w:t>
            </w:r>
          </w:p>
        </w:tc>
        <w:tc>
          <w:tcPr>
            <w:tcW w:w="800" w:type="dxa"/>
            <w:vAlign w:val="bottom"/>
          </w:tcPr>
          <w:p>
            <w:pPr>
              <w:jc w:val="right"/>
              <w:spacing w:after="0"/>
              <w:rPr>
                <w:sz w:val="20"/>
                <w:szCs w:val="20"/>
                <w:color w:val="auto"/>
              </w:rPr>
            </w:pPr>
            <w:r>
              <w:rPr>
                <w:rFonts w:ascii="Arial" w:cs="Arial" w:eastAsia="Arial" w:hAnsi="Arial"/>
                <w:sz w:val="14"/>
                <w:szCs w:val="14"/>
                <w:color w:val="auto"/>
              </w:rPr>
              <w:t>(4,297,198)</w:t>
            </w:r>
          </w:p>
        </w:tc>
      </w:tr>
      <w:tr>
        <w:trPr>
          <w:trHeight w:val="194"/>
        </w:trPr>
        <w:tc>
          <w:tcPr>
            <w:tcW w:w="4240" w:type="dxa"/>
            <w:vAlign w:val="bottom"/>
            <w:tcBorders>
              <w:bottom w:val="single" w:sz="8" w:color="E6E6E6"/>
            </w:tcBorders>
          </w:tcPr>
          <w:p>
            <w:pPr>
              <w:ind w:left="60"/>
              <w:spacing w:after="0"/>
              <w:rPr>
                <w:sz w:val="20"/>
                <w:szCs w:val="20"/>
                <w:color w:val="auto"/>
              </w:rPr>
            </w:pPr>
            <w:r>
              <w:rPr>
                <w:rFonts w:ascii="Arial" w:cs="Arial" w:eastAsia="Arial" w:hAnsi="Arial"/>
                <w:sz w:val="14"/>
                <w:szCs w:val="14"/>
                <w:color w:val="auto"/>
              </w:rPr>
              <w:t>SCT Total ($)</w:t>
            </w:r>
          </w:p>
        </w:tc>
        <w:tc>
          <w:tcPr>
            <w:tcW w:w="880" w:type="dxa"/>
            <w:vAlign w:val="bottom"/>
            <w:tcBorders>
              <w:bottom w:val="single" w:sz="8" w:color="E6E6E6"/>
            </w:tcBorders>
          </w:tcPr>
          <w:p>
            <w:pPr>
              <w:spacing w:after="0"/>
              <w:rPr>
                <w:sz w:val="16"/>
                <w:szCs w:val="16"/>
                <w:color w:val="auto"/>
              </w:rPr>
            </w:pPr>
          </w:p>
        </w:tc>
        <w:tc>
          <w:tcPr>
            <w:tcW w:w="86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c>
          <w:tcPr>
            <w:tcW w:w="860" w:type="dxa"/>
            <w:vAlign w:val="bottom"/>
            <w:tcBorders>
              <w:bottom w:val="single" w:sz="8" w:color="E6E6E6"/>
            </w:tcBorders>
          </w:tcPr>
          <w:p>
            <w:pPr>
              <w:spacing w:after="0"/>
              <w:rPr>
                <w:sz w:val="16"/>
                <w:szCs w:val="16"/>
                <w:color w:val="auto"/>
              </w:rPr>
            </w:pPr>
          </w:p>
        </w:tc>
        <w:tc>
          <w:tcPr>
            <w:tcW w:w="800" w:type="dxa"/>
            <w:vAlign w:val="bottom"/>
            <w:tcBorders>
              <w:bottom w:val="single" w:sz="8" w:color="E6E6E6"/>
            </w:tcBorders>
          </w:tcPr>
          <w:p>
            <w:pPr>
              <w:spacing w:after="0"/>
              <w:rPr>
                <w:sz w:val="16"/>
                <w:szCs w:val="16"/>
                <w:color w:val="auto"/>
              </w:rPr>
            </w:pPr>
          </w:p>
        </w:tc>
      </w:tr>
      <w:tr>
        <w:trPr>
          <w:trHeight w:val="177"/>
        </w:trPr>
        <w:tc>
          <w:tcPr>
            <w:tcW w:w="4240" w:type="dxa"/>
            <w:vAlign w:val="bottom"/>
            <w:shd w:val="clear" w:color="auto" w:fill="EEFAEC"/>
          </w:tcPr>
          <w:p>
            <w:pPr>
              <w:ind w:left="60"/>
              <w:spacing w:after="0"/>
              <w:rPr>
                <w:sz w:val="20"/>
                <w:szCs w:val="20"/>
                <w:color w:val="auto"/>
              </w:rPr>
            </w:pPr>
            <w:r>
              <w:rPr>
                <w:rFonts w:ascii="Arial" w:cs="Arial" w:eastAsia="Arial" w:hAnsi="Arial"/>
                <w:sz w:val="14"/>
                <w:szCs w:val="14"/>
                <w:color w:val="auto"/>
              </w:rPr>
              <w:t>Deduct: Amounts Reported under the “Option Awards” Column in</w:t>
            </w:r>
          </w:p>
        </w:tc>
        <w:tc>
          <w:tcPr>
            <w:tcW w:w="880" w:type="dxa"/>
            <w:vAlign w:val="bottom"/>
            <w:shd w:val="clear" w:color="auto" w:fill="EEFAEC"/>
          </w:tcPr>
          <w:p>
            <w:pPr>
              <w:jc w:val="right"/>
              <w:spacing w:after="0"/>
              <w:rPr>
                <w:sz w:val="20"/>
                <w:szCs w:val="20"/>
                <w:color w:val="auto"/>
              </w:rPr>
            </w:pPr>
            <w:r>
              <w:rPr>
                <w:rFonts w:ascii="Arial" w:cs="Arial" w:eastAsia="Arial" w:hAnsi="Arial"/>
                <w:sz w:val="14"/>
                <w:szCs w:val="14"/>
                <w:color w:val="auto"/>
              </w:rPr>
              <w:t>(1,138,876)</w:t>
            </w:r>
          </w:p>
        </w:tc>
        <w:tc>
          <w:tcPr>
            <w:tcW w:w="860" w:type="dxa"/>
            <w:vAlign w:val="bottom"/>
            <w:shd w:val="clear" w:color="auto" w:fill="EEFAEC"/>
          </w:tcPr>
          <w:p>
            <w:pPr>
              <w:jc w:val="right"/>
              <w:spacing w:after="0"/>
              <w:rPr>
                <w:sz w:val="20"/>
                <w:szCs w:val="20"/>
                <w:color w:val="auto"/>
              </w:rPr>
            </w:pPr>
            <w:r>
              <w:rPr>
                <w:rFonts w:ascii="Arial" w:cs="Arial" w:eastAsia="Arial" w:hAnsi="Arial"/>
                <w:sz w:val="14"/>
                <w:szCs w:val="14"/>
                <w:color w:val="auto"/>
              </w:rPr>
              <w:t>(829,998)</w:t>
            </w:r>
          </w:p>
        </w:tc>
        <w:tc>
          <w:tcPr>
            <w:tcW w:w="840" w:type="dxa"/>
            <w:vAlign w:val="bottom"/>
            <w:shd w:val="clear" w:color="auto" w:fill="EEFAEC"/>
          </w:tcPr>
          <w:p>
            <w:pPr>
              <w:jc w:val="right"/>
              <w:spacing w:after="0"/>
              <w:rPr>
                <w:sz w:val="20"/>
                <w:szCs w:val="20"/>
                <w:color w:val="auto"/>
              </w:rPr>
            </w:pPr>
            <w:r>
              <w:rPr>
                <w:rFonts w:ascii="Arial" w:cs="Arial" w:eastAsia="Arial" w:hAnsi="Arial"/>
                <w:sz w:val="14"/>
                <w:szCs w:val="14"/>
                <w:color w:val="auto"/>
              </w:rPr>
              <w:t>(936,002)</w:t>
            </w:r>
          </w:p>
        </w:tc>
        <w:tc>
          <w:tcPr>
            <w:tcW w:w="86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EEFAEC"/>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4240" w:type="dxa"/>
            <w:vAlign w:val="bottom"/>
            <w:tcBorders>
              <w:bottom w:val="single" w:sz="8" w:color="E6E6E6"/>
            </w:tcBorders>
            <w:shd w:val="clear" w:color="auto" w:fill="EEFAEC"/>
          </w:tcPr>
          <w:p>
            <w:pPr>
              <w:ind w:left="60"/>
              <w:spacing w:after="0"/>
              <w:rPr>
                <w:sz w:val="20"/>
                <w:szCs w:val="20"/>
                <w:color w:val="auto"/>
              </w:rPr>
            </w:pPr>
            <w:r>
              <w:rPr>
                <w:rFonts w:ascii="Arial" w:cs="Arial" w:eastAsia="Arial" w:hAnsi="Arial"/>
                <w:sz w:val="14"/>
                <w:szCs w:val="14"/>
                <w:color w:val="auto"/>
              </w:rPr>
              <w:t>SCT Total ($)</w:t>
            </w:r>
          </w:p>
        </w:tc>
        <w:tc>
          <w:tcPr>
            <w:tcW w:w="880" w:type="dxa"/>
            <w:vAlign w:val="bottom"/>
            <w:tcBorders>
              <w:bottom w:val="single" w:sz="8" w:color="E6E6E6"/>
            </w:tcBorders>
            <w:shd w:val="clear" w:color="auto" w:fill="EEFAEC"/>
          </w:tcPr>
          <w:p>
            <w:pPr>
              <w:spacing w:after="0"/>
              <w:rPr>
                <w:sz w:val="16"/>
                <w:szCs w:val="16"/>
                <w:color w:val="auto"/>
              </w:rPr>
            </w:pPr>
          </w:p>
        </w:tc>
        <w:tc>
          <w:tcPr>
            <w:tcW w:w="860" w:type="dxa"/>
            <w:vAlign w:val="bottom"/>
            <w:tcBorders>
              <w:bottom w:val="single" w:sz="8" w:color="E6E6E6"/>
            </w:tcBorders>
            <w:shd w:val="clear" w:color="auto" w:fill="EEFAEC"/>
          </w:tcPr>
          <w:p>
            <w:pPr>
              <w:spacing w:after="0"/>
              <w:rPr>
                <w:sz w:val="16"/>
                <w:szCs w:val="16"/>
                <w:color w:val="auto"/>
              </w:rPr>
            </w:pPr>
          </w:p>
        </w:tc>
        <w:tc>
          <w:tcPr>
            <w:tcW w:w="840" w:type="dxa"/>
            <w:vAlign w:val="bottom"/>
            <w:tcBorders>
              <w:bottom w:val="single" w:sz="8" w:color="E6E6E6"/>
            </w:tcBorders>
            <w:shd w:val="clear" w:color="auto" w:fill="EEFAEC"/>
          </w:tcPr>
          <w:p>
            <w:pPr>
              <w:spacing w:after="0"/>
              <w:rPr>
                <w:sz w:val="16"/>
                <w:szCs w:val="16"/>
                <w:color w:val="auto"/>
              </w:rPr>
            </w:pPr>
          </w:p>
        </w:tc>
        <w:tc>
          <w:tcPr>
            <w:tcW w:w="860" w:type="dxa"/>
            <w:vAlign w:val="bottom"/>
            <w:tcBorders>
              <w:bottom w:val="single" w:sz="8" w:color="E6E6E6"/>
            </w:tcBorders>
            <w:shd w:val="clear" w:color="auto" w:fill="EEFAEC"/>
          </w:tcPr>
          <w:p>
            <w:pPr>
              <w:spacing w:after="0"/>
              <w:rPr>
                <w:sz w:val="16"/>
                <w:szCs w:val="16"/>
                <w:color w:val="auto"/>
              </w:rPr>
            </w:pPr>
          </w:p>
        </w:tc>
        <w:tc>
          <w:tcPr>
            <w:tcW w:w="800" w:type="dxa"/>
            <w:vAlign w:val="bottom"/>
            <w:tcBorders>
              <w:bottom w:val="single" w:sz="8" w:color="E6E6E6"/>
            </w:tcBorders>
            <w:shd w:val="clear" w:color="auto" w:fill="EEFAEC"/>
          </w:tcPr>
          <w:p>
            <w:pPr>
              <w:spacing w:after="0"/>
              <w:rPr>
                <w:sz w:val="16"/>
                <w:szCs w:val="16"/>
                <w:color w:val="auto"/>
              </w:rPr>
            </w:pPr>
          </w:p>
        </w:tc>
      </w:tr>
      <w:tr>
        <w:trPr>
          <w:trHeight w:val="177"/>
        </w:trPr>
        <w:tc>
          <w:tcPr>
            <w:tcW w:w="4240" w:type="dxa"/>
            <w:vAlign w:val="bottom"/>
          </w:tcPr>
          <w:p>
            <w:pPr>
              <w:ind w:left="60"/>
              <w:spacing w:after="0"/>
              <w:rPr>
                <w:sz w:val="20"/>
                <w:szCs w:val="20"/>
                <w:color w:val="auto"/>
              </w:rPr>
            </w:pPr>
            <w:r>
              <w:rPr>
                <w:rFonts w:ascii="Arial" w:cs="Arial" w:eastAsia="Arial" w:hAnsi="Arial"/>
                <w:sz w:val="14"/>
                <w:szCs w:val="14"/>
                <w:color w:val="auto"/>
              </w:rPr>
              <w:t>Increase: Fair Value of Awards Granted during the year that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3,761,408</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2,868,422</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4,422,045</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5,908,305</w:t>
            </w:r>
          </w:p>
        </w:tc>
        <w:tc>
          <w:tcPr>
            <w:tcW w:w="800" w:type="dxa"/>
            <w:vAlign w:val="bottom"/>
          </w:tcPr>
          <w:p>
            <w:pPr>
              <w:jc w:val="right"/>
              <w:spacing w:after="0"/>
              <w:rPr>
                <w:sz w:val="20"/>
                <w:szCs w:val="20"/>
                <w:color w:val="auto"/>
              </w:rPr>
            </w:pPr>
            <w:r>
              <w:rPr>
                <w:rFonts w:ascii="Arial" w:cs="Arial" w:eastAsia="Arial" w:hAnsi="Arial"/>
                <w:sz w:val="14"/>
                <w:szCs w:val="14"/>
                <w:color w:val="auto"/>
              </w:rPr>
              <w:t>4,123,906</w:t>
            </w:r>
          </w:p>
        </w:tc>
      </w:tr>
      <w:tr>
        <w:trPr>
          <w:trHeight w:val="194"/>
        </w:trPr>
        <w:tc>
          <w:tcPr>
            <w:tcW w:w="4240" w:type="dxa"/>
            <w:vAlign w:val="bottom"/>
            <w:tcBorders>
              <w:bottom w:val="single" w:sz="8" w:color="E6E6E6"/>
            </w:tcBorders>
          </w:tcPr>
          <w:p>
            <w:pPr>
              <w:ind w:left="60"/>
              <w:spacing w:after="0"/>
              <w:rPr>
                <w:sz w:val="20"/>
                <w:szCs w:val="20"/>
                <w:color w:val="auto"/>
              </w:rPr>
            </w:pPr>
            <w:r>
              <w:rPr>
                <w:rFonts w:ascii="Arial" w:cs="Arial" w:eastAsia="Arial" w:hAnsi="Arial"/>
                <w:sz w:val="14"/>
                <w:szCs w:val="14"/>
                <w:color w:val="auto"/>
              </w:rPr>
              <w:t>remain Outstanding and Unvested as of year-end ($)</w:t>
            </w:r>
          </w:p>
        </w:tc>
        <w:tc>
          <w:tcPr>
            <w:tcW w:w="880" w:type="dxa"/>
            <w:vAlign w:val="bottom"/>
            <w:tcBorders>
              <w:bottom w:val="single" w:sz="8" w:color="E6E6E6"/>
            </w:tcBorders>
          </w:tcPr>
          <w:p>
            <w:pPr>
              <w:spacing w:after="0"/>
              <w:rPr>
                <w:sz w:val="16"/>
                <w:szCs w:val="16"/>
                <w:color w:val="auto"/>
              </w:rPr>
            </w:pPr>
          </w:p>
        </w:tc>
        <w:tc>
          <w:tcPr>
            <w:tcW w:w="86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c>
          <w:tcPr>
            <w:tcW w:w="860" w:type="dxa"/>
            <w:vAlign w:val="bottom"/>
            <w:tcBorders>
              <w:bottom w:val="single" w:sz="8" w:color="E6E6E6"/>
            </w:tcBorders>
          </w:tcPr>
          <w:p>
            <w:pPr>
              <w:spacing w:after="0"/>
              <w:rPr>
                <w:sz w:val="16"/>
                <w:szCs w:val="16"/>
                <w:color w:val="auto"/>
              </w:rPr>
            </w:pPr>
          </w:p>
        </w:tc>
        <w:tc>
          <w:tcPr>
            <w:tcW w:w="800" w:type="dxa"/>
            <w:vAlign w:val="bottom"/>
            <w:tcBorders>
              <w:bottom w:val="single" w:sz="8" w:color="E6E6E6"/>
            </w:tcBorders>
          </w:tcPr>
          <w:p>
            <w:pPr>
              <w:spacing w:after="0"/>
              <w:rPr>
                <w:sz w:val="16"/>
                <w:szCs w:val="16"/>
                <w:color w:val="auto"/>
              </w:rPr>
            </w:pPr>
          </w:p>
        </w:tc>
      </w:tr>
      <w:tr>
        <w:trPr>
          <w:trHeight w:val="177"/>
        </w:trPr>
        <w:tc>
          <w:tcPr>
            <w:tcW w:w="4240" w:type="dxa"/>
            <w:vAlign w:val="bottom"/>
            <w:shd w:val="clear" w:color="auto" w:fill="EEFAEC"/>
          </w:tcPr>
          <w:p>
            <w:pPr>
              <w:ind w:left="60"/>
              <w:spacing w:after="0"/>
              <w:rPr>
                <w:sz w:val="20"/>
                <w:szCs w:val="20"/>
                <w:color w:val="auto"/>
              </w:rPr>
            </w:pPr>
            <w:r>
              <w:rPr>
                <w:rFonts w:ascii="Arial" w:cs="Arial" w:eastAsia="Arial" w:hAnsi="Arial"/>
                <w:sz w:val="14"/>
                <w:szCs w:val="14"/>
                <w:color w:val="auto"/>
              </w:rPr>
              <w:t>Increase: Fair Value of Awards Granted during the year that</w:t>
            </w:r>
          </w:p>
        </w:tc>
        <w:tc>
          <w:tcPr>
            <w:tcW w:w="88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126,369</w:t>
            </w:r>
          </w:p>
        </w:tc>
        <w:tc>
          <w:tcPr>
            <w:tcW w:w="84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EEFAEC"/>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4240" w:type="dxa"/>
            <w:vAlign w:val="bottom"/>
            <w:tcBorders>
              <w:bottom w:val="single" w:sz="8" w:color="E6E6E6"/>
            </w:tcBorders>
            <w:shd w:val="clear" w:color="auto" w:fill="EEFAEC"/>
          </w:tcPr>
          <w:p>
            <w:pPr>
              <w:ind w:left="60"/>
              <w:spacing w:after="0"/>
              <w:rPr>
                <w:sz w:val="20"/>
                <w:szCs w:val="20"/>
                <w:color w:val="auto"/>
              </w:rPr>
            </w:pPr>
            <w:r>
              <w:rPr>
                <w:rFonts w:ascii="Arial" w:cs="Arial" w:eastAsia="Arial" w:hAnsi="Arial"/>
                <w:sz w:val="14"/>
                <w:szCs w:val="14"/>
                <w:color w:val="auto"/>
              </w:rPr>
              <w:t>Vested during year ($)</w:t>
            </w:r>
          </w:p>
        </w:tc>
        <w:tc>
          <w:tcPr>
            <w:tcW w:w="880" w:type="dxa"/>
            <w:vAlign w:val="bottom"/>
            <w:tcBorders>
              <w:bottom w:val="single" w:sz="8" w:color="E6E6E6"/>
            </w:tcBorders>
            <w:shd w:val="clear" w:color="auto" w:fill="EEFAEC"/>
          </w:tcPr>
          <w:p>
            <w:pPr>
              <w:spacing w:after="0"/>
              <w:rPr>
                <w:sz w:val="16"/>
                <w:szCs w:val="16"/>
                <w:color w:val="auto"/>
              </w:rPr>
            </w:pPr>
          </w:p>
        </w:tc>
        <w:tc>
          <w:tcPr>
            <w:tcW w:w="860" w:type="dxa"/>
            <w:vAlign w:val="bottom"/>
            <w:tcBorders>
              <w:bottom w:val="single" w:sz="8" w:color="E6E6E6"/>
            </w:tcBorders>
            <w:shd w:val="clear" w:color="auto" w:fill="EEFAEC"/>
          </w:tcPr>
          <w:p>
            <w:pPr>
              <w:spacing w:after="0"/>
              <w:rPr>
                <w:sz w:val="16"/>
                <w:szCs w:val="16"/>
                <w:color w:val="auto"/>
              </w:rPr>
            </w:pPr>
          </w:p>
        </w:tc>
        <w:tc>
          <w:tcPr>
            <w:tcW w:w="840" w:type="dxa"/>
            <w:vAlign w:val="bottom"/>
            <w:tcBorders>
              <w:bottom w:val="single" w:sz="8" w:color="E6E6E6"/>
            </w:tcBorders>
            <w:shd w:val="clear" w:color="auto" w:fill="EEFAEC"/>
          </w:tcPr>
          <w:p>
            <w:pPr>
              <w:spacing w:after="0"/>
              <w:rPr>
                <w:sz w:val="16"/>
                <w:szCs w:val="16"/>
                <w:color w:val="auto"/>
              </w:rPr>
            </w:pPr>
          </w:p>
        </w:tc>
        <w:tc>
          <w:tcPr>
            <w:tcW w:w="860" w:type="dxa"/>
            <w:vAlign w:val="bottom"/>
            <w:tcBorders>
              <w:bottom w:val="single" w:sz="8" w:color="E6E6E6"/>
            </w:tcBorders>
            <w:shd w:val="clear" w:color="auto" w:fill="EEFAEC"/>
          </w:tcPr>
          <w:p>
            <w:pPr>
              <w:spacing w:after="0"/>
              <w:rPr>
                <w:sz w:val="16"/>
                <w:szCs w:val="16"/>
                <w:color w:val="auto"/>
              </w:rPr>
            </w:pPr>
          </w:p>
        </w:tc>
        <w:tc>
          <w:tcPr>
            <w:tcW w:w="800" w:type="dxa"/>
            <w:vAlign w:val="bottom"/>
            <w:tcBorders>
              <w:bottom w:val="single" w:sz="8" w:color="E6E6E6"/>
            </w:tcBorders>
            <w:shd w:val="clear" w:color="auto" w:fill="EEFAEC"/>
          </w:tcPr>
          <w:p>
            <w:pPr>
              <w:spacing w:after="0"/>
              <w:rPr>
                <w:sz w:val="16"/>
                <w:szCs w:val="16"/>
                <w:color w:val="auto"/>
              </w:rPr>
            </w:pPr>
          </w:p>
        </w:tc>
      </w:tr>
      <w:tr>
        <w:trPr>
          <w:trHeight w:val="177"/>
        </w:trPr>
        <w:tc>
          <w:tcPr>
            <w:tcW w:w="4240" w:type="dxa"/>
            <w:vAlign w:val="bottom"/>
          </w:tcPr>
          <w:p>
            <w:pPr>
              <w:ind w:left="60"/>
              <w:spacing w:after="0"/>
              <w:rPr>
                <w:sz w:val="20"/>
                <w:szCs w:val="20"/>
                <w:color w:val="auto"/>
              </w:rPr>
            </w:pPr>
            <w:r>
              <w:rPr>
                <w:rFonts w:ascii="Arial" w:cs="Arial" w:eastAsia="Arial" w:hAnsi="Arial"/>
                <w:sz w:val="14"/>
                <w:szCs w:val="14"/>
                <w:color w:val="auto"/>
              </w:rPr>
              <w:t>Increase/deduct: Change in Fair Value from prior Year-end to</w:t>
            </w:r>
          </w:p>
        </w:tc>
        <w:tc>
          <w:tcPr>
            <w:tcW w:w="880" w:type="dxa"/>
            <w:vAlign w:val="bottom"/>
          </w:tcPr>
          <w:p>
            <w:pPr>
              <w:jc w:val="right"/>
              <w:spacing w:after="0"/>
              <w:rPr>
                <w:sz w:val="20"/>
                <w:szCs w:val="20"/>
                <w:color w:val="auto"/>
              </w:rPr>
            </w:pPr>
            <w:r>
              <w:rPr>
                <w:rFonts w:ascii="Arial" w:cs="Arial" w:eastAsia="Arial" w:hAnsi="Arial"/>
                <w:sz w:val="14"/>
                <w:szCs w:val="14"/>
                <w:color w:val="auto"/>
              </w:rPr>
              <w:t>(3,579,308)</w:t>
            </w:r>
          </w:p>
        </w:tc>
        <w:tc>
          <w:tcPr>
            <w:tcW w:w="860" w:type="dxa"/>
            <w:vAlign w:val="bottom"/>
          </w:tcPr>
          <w:p>
            <w:pPr>
              <w:jc w:val="right"/>
              <w:spacing w:after="0"/>
              <w:rPr>
                <w:sz w:val="20"/>
                <w:szCs w:val="20"/>
                <w:color w:val="auto"/>
              </w:rPr>
            </w:pPr>
            <w:r>
              <w:rPr>
                <w:rFonts w:ascii="Arial" w:cs="Arial" w:eastAsia="Arial" w:hAnsi="Arial"/>
                <w:sz w:val="14"/>
                <w:szCs w:val="14"/>
                <w:color w:val="auto"/>
              </w:rPr>
              <w:t>(1,113,287)</w:t>
            </w:r>
          </w:p>
        </w:tc>
        <w:tc>
          <w:tcPr>
            <w:tcW w:w="840" w:type="dxa"/>
            <w:vAlign w:val="bottom"/>
          </w:tcPr>
          <w:p>
            <w:pPr>
              <w:jc w:val="right"/>
              <w:spacing w:after="0"/>
              <w:rPr>
                <w:sz w:val="20"/>
                <w:szCs w:val="20"/>
                <w:color w:val="auto"/>
              </w:rPr>
            </w:pPr>
            <w:r>
              <w:rPr>
                <w:rFonts w:ascii="Arial" w:cs="Arial" w:eastAsia="Arial" w:hAnsi="Arial"/>
                <w:sz w:val="14"/>
                <w:szCs w:val="14"/>
                <w:color w:val="auto"/>
              </w:rPr>
              <w:t>(584,867)</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1,881,119</w:t>
            </w:r>
          </w:p>
        </w:tc>
        <w:tc>
          <w:tcPr>
            <w:tcW w:w="800" w:type="dxa"/>
            <w:vAlign w:val="bottom"/>
          </w:tcPr>
          <w:p>
            <w:pPr>
              <w:jc w:val="right"/>
              <w:spacing w:after="0"/>
              <w:rPr>
                <w:sz w:val="20"/>
                <w:szCs w:val="20"/>
                <w:color w:val="auto"/>
              </w:rPr>
            </w:pPr>
            <w:r>
              <w:rPr>
                <w:rFonts w:ascii="Arial" w:cs="Arial" w:eastAsia="Arial" w:hAnsi="Arial"/>
                <w:sz w:val="14"/>
                <w:szCs w:val="14"/>
                <w:color w:val="auto"/>
              </w:rPr>
              <w:t>(521,214)</w:t>
            </w:r>
          </w:p>
        </w:tc>
      </w:tr>
      <w:tr>
        <w:trPr>
          <w:trHeight w:val="160"/>
        </w:trPr>
        <w:tc>
          <w:tcPr>
            <w:tcW w:w="4240" w:type="dxa"/>
            <w:vAlign w:val="bottom"/>
          </w:tcPr>
          <w:p>
            <w:pPr>
              <w:ind w:left="60"/>
              <w:spacing w:after="0" w:line="159" w:lineRule="exact"/>
              <w:rPr>
                <w:sz w:val="20"/>
                <w:szCs w:val="20"/>
                <w:color w:val="auto"/>
              </w:rPr>
            </w:pPr>
            <w:r>
              <w:rPr>
                <w:rFonts w:ascii="Arial" w:cs="Arial" w:eastAsia="Arial" w:hAnsi="Arial"/>
                <w:sz w:val="14"/>
                <w:szCs w:val="14"/>
                <w:color w:val="auto"/>
              </w:rPr>
              <w:t>current Year-end of Awards Granted Prior to year that were</w:t>
            </w: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8"/>
        </w:trPr>
        <w:tc>
          <w:tcPr>
            <w:tcW w:w="4240" w:type="dxa"/>
            <w:vAlign w:val="bottom"/>
            <w:tcBorders>
              <w:bottom w:val="single" w:sz="8" w:color="E6E6E6"/>
            </w:tcBorders>
          </w:tcPr>
          <w:p>
            <w:pPr>
              <w:ind w:left="60"/>
              <w:spacing w:after="0"/>
              <w:rPr>
                <w:sz w:val="20"/>
                <w:szCs w:val="20"/>
                <w:color w:val="auto"/>
              </w:rPr>
            </w:pPr>
            <w:r>
              <w:rPr>
                <w:rFonts w:ascii="Arial" w:cs="Arial" w:eastAsia="Arial" w:hAnsi="Arial"/>
                <w:sz w:val="14"/>
                <w:szCs w:val="14"/>
                <w:color w:val="auto"/>
              </w:rPr>
              <w:t>Outstanding and Unvested as of year-end ($)</w:t>
            </w:r>
            <w:r>
              <w:rPr>
                <w:rFonts w:ascii="Arial" w:cs="Arial" w:eastAsia="Arial" w:hAnsi="Arial"/>
                <w:sz w:val="18"/>
                <w:szCs w:val="18"/>
                <w:color w:val="auto"/>
                <w:vertAlign w:val="superscript"/>
              </w:rPr>
              <w:t>(a)</w:t>
            </w:r>
          </w:p>
        </w:tc>
        <w:tc>
          <w:tcPr>
            <w:tcW w:w="880" w:type="dxa"/>
            <w:vAlign w:val="bottom"/>
            <w:tcBorders>
              <w:bottom w:val="single" w:sz="8" w:color="E6E6E6"/>
            </w:tcBorders>
          </w:tcPr>
          <w:p>
            <w:pPr>
              <w:spacing w:after="0"/>
              <w:rPr>
                <w:sz w:val="19"/>
                <w:szCs w:val="19"/>
                <w:color w:val="auto"/>
              </w:rPr>
            </w:pPr>
          </w:p>
        </w:tc>
        <w:tc>
          <w:tcPr>
            <w:tcW w:w="860" w:type="dxa"/>
            <w:vAlign w:val="bottom"/>
            <w:tcBorders>
              <w:bottom w:val="single" w:sz="8" w:color="E6E6E6"/>
            </w:tcBorders>
          </w:tcPr>
          <w:p>
            <w:pPr>
              <w:spacing w:after="0"/>
              <w:rPr>
                <w:sz w:val="19"/>
                <w:szCs w:val="19"/>
                <w:color w:val="auto"/>
              </w:rPr>
            </w:pPr>
          </w:p>
        </w:tc>
        <w:tc>
          <w:tcPr>
            <w:tcW w:w="840" w:type="dxa"/>
            <w:vAlign w:val="bottom"/>
            <w:tcBorders>
              <w:bottom w:val="single" w:sz="8" w:color="E6E6E6"/>
            </w:tcBorders>
          </w:tcPr>
          <w:p>
            <w:pPr>
              <w:spacing w:after="0"/>
              <w:rPr>
                <w:sz w:val="19"/>
                <w:szCs w:val="19"/>
                <w:color w:val="auto"/>
              </w:rPr>
            </w:pPr>
          </w:p>
        </w:tc>
        <w:tc>
          <w:tcPr>
            <w:tcW w:w="860" w:type="dxa"/>
            <w:vAlign w:val="bottom"/>
            <w:tcBorders>
              <w:bottom w:val="single" w:sz="8" w:color="E6E6E6"/>
            </w:tcBorders>
          </w:tcPr>
          <w:p>
            <w:pPr>
              <w:spacing w:after="0"/>
              <w:rPr>
                <w:sz w:val="19"/>
                <w:szCs w:val="19"/>
                <w:color w:val="auto"/>
              </w:rPr>
            </w:pPr>
          </w:p>
        </w:tc>
        <w:tc>
          <w:tcPr>
            <w:tcW w:w="800" w:type="dxa"/>
            <w:vAlign w:val="bottom"/>
            <w:tcBorders>
              <w:bottom w:val="single" w:sz="8" w:color="E6E6E6"/>
            </w:tcBorders>
          </w:tcPr>
          <w:p>
            <w:pPr>
              <w:spacing w:after="0"/>
              <w:rPr>
                <w:sz w:val="19"/>
                <w:szCs w:val="19"/>
                <w:color w:val="auto"/>
              </w:rPr>
            </w:pPr>
          </w:p>
        </w:tc>
      </w:tr>
      <w:tr>
        <w:trPr>
          <w:trHeight w:val="173"/>
        </w:trPr>
        <w:tc>
          <w:tcPr>
            <w:tcW w:w="4240" w:type="dxa"/>
            <w:vAlign w:val="bottom"/>
            <w:shd w:val="clear" w:color="auto" w:fill="EEFAEC"/>
          </w:tcPr>
          <w:p>
            <w:pPr>
              <w:ind w:left="60"/>
              <w:spacing w:after="0"/>
              <w:rPr>
                <w:sz w:val="20"/>
                <w:szCs w:val="20"/>
                <w:color w:val="auto"/>
              </w:rPr>
            </w:pPr>
            <w:r>
              <w:rPr>
                <w:rFonts w:ascii="Arial" w:cs="Arial" w:eastAsia="Arial" w:hAnsi="Arial"/>
                <w:sz w:val="14"/>
                <w:szCs w:val="14"/>
                <w:color w:val="auto"/>
              </w:rPr>
              <w:t>Increase/deduct: Change in Fair Value from Prior Year-end to</w:t>
            </w:r>
          </w:p>
        </w:tc>
        <w:tc>
          <w:tcPr>
            <w:tcW w:w="880" w:type="dxa"/>
            <w:vAlign w:val="bottom"/>
            <w:shd w:val="clear" w:color="auto" w:fill="EEFAEC"/>
          </w:tcPr>
          <w:p>
            <w:pPr>
              <w:jc w:val="right"/>
              <w:spacing w:after="0"/>
              <w:rPr>
                <w:sz w:val="20"/>
                <w:szCs w:val="20"/>
                <w:color w:val="auto"/>
              </w:rPr>
            </w:pPr>
            <w:r>
              <w:rPr>
                <w:rFonts w:ascii="Arial" w:cs="Arial" w:eastAsia="Arial" w:hAnsi="Arial"/>
                <w:sz w:val="14"/>
                <w:szCs w:val="14"/>
                <w:color w:val="auto"/>
              </w:rPr>
              <w:t>(15,284)</w:t>
            </w:r>
          </w:p>
        </w:tc>
        <w:tc>
          <w:tcPr>
            <w:tcW w:w="860" w:type="dxa"/>
            <w:vAlign w:val="bottom"/>
            <w:shd w:val="clear" w:color="auto" w:fill="EEFAEC"/>
          </w:tcPr>
          <w:p>
            <w:pPr>
              <w:jc w:val="right"/>
              <w:spacing w:after="0"/>
              <w:rPr>
                <w:sz w:val="20"/>
                <w:szCs w:val="20"/>
                <w:color w:val="auto"/>
              </w:rPr>
            </w:pPr>
            <w:r>
              <w:rPr>
                <w:rFonts w:ascii="Arial" w:cs="Arial" w:eastAsia="Arial" w:hAnsi="Arial"/>
                <w:sz w:val="14"/>
                <w:szCs w:val="14"/>
                <w:color w:val="auto"/>
              </w:rPr>
              <w:t>(598,284)</w:t>
            </w:r>
          </w:p>
        </w:tc>
        <w:tc>
          <w:tcPr>
            <w:tcW w:w="840" w:type="dxa"/>
            <w:vAlign w:val="bottom"/>
            <w:shd w:val="clear" w:color="auto" w:fill="EEFAEC"/>
          </w:tcPr>
          <w:p>
            <w:pPr>
              <w:jc w:val="right"/>
              <w:spacing w:after="0"/>
              <w:rPr>
                <w:sz w:val="20"/>
                <w:szCs w:val="20"/>
                <w:color w:val="auto"/>
              </w:rPr>
            </w:pPr>
            <w:r>
              <w:rPr>
                <w:rFonts w:ascii="Arial" w:cs="Arial" w:eastAsia="Arial" w:hAnsi="Arial"/>
                <w:sz w:val="14"/>
                <w:szCs w:val="14"/>
                <w:color w:val="auto"/>
              </w:rPr>
              <w:t>(82,400)</w:t>
            </w:r>
          </w:p>
        </w:tc>
        <w:tc>
          <w:tcPr>
            <w:tcW w:w="860" w:type="dxa"/>
            <w:vAlign w:val="bottom"/>
            <w:shd w:val="clear" w:color="auto" w:fill="EEFAEC"/>
          </w:tcPr>
          <w:p>
            <w:pPr>
              <w:jc w:val="right"/>
              <w:ind w:right="30"/>
              <w:spacing w:after="0"/>
              <w:rPr>
                <w:sz w:val="20"/>
                <w:szCs w:val="20"/>
                <w:color w:val="auto"/>
              </w:rPr>
            </w:pPr>
            <w:r>
              <w:rPr>
                <w:rFonts w:ascii="Arial" w:cs="Arial" w:eastAsia="Arial" w:hAnsi="Arial"/>
                <w:sz w:val="14"/>
                <w:szCs w:val="14"/>
                <w:color w:val="auto"/>
              </w:rPr>
              <w:t>717,691</w:t>
            </w:r>
          </w:p>
        </w:tc>
        <w:tc>
          <w:tcPr>
            <w:tcW w:w="800" w:type="dxa"/>
            <w:vAlign w:val="bottom"/>
            <w:shd w:val="clear" w:color="auto" w:fill="EEFAEC"/>
          </w:tcPr>
          <w:p>
            <w:pPr>
              <w:jc w:val="right"/>
              <w:spacing w:after="0"/>
              <w:rPr>
                <w:sz w:val="20"/>
                <w:szCs w:val="20"/>
                <w:color w:val="auto"/>
              </w:rPr>
            </w:pPr>
            <w:r>
              <w:rPr>
                <w:rFonts w:ascii="Arial" w:cs="Arial" w:eastAsia="Arial" w:hAnsi="Arial"/>
                <w:sz w:val="14"/>
                <w:szCs w:val="14"/>
                <w:color w:val="auto"/>
              </w:rPr>
              <w:t>(619,166)</w:t>
            </w:r>
          </w:p>
        </w:tc>
      </w:tr>
      <w:tr>
        <w:trPr>
          <w:trHeight w:val="176"/>
        </w:trPr>
        <w:tc>
          <w:tcPr>
            <w:tcW w:w="4240" w:type="dxa"/>
            <w:vAlign w:val="bottom"/>
            <w:shd w:val="clear" w:color="auto" w:fill="EEFAEC"/>
          </w:tcPr>
          <w:p>
            <w:pPr>
              <w:ind w:left="60"/>
              <w:spacing w:after="0"/>
              <w:rPr>
                <w:sz w:val="20"/>
                <w:szCs w:val="20"/>
                <w:color w:val="auto"/>
              </w:rPr>
            </w:pPr>
            <w:r>
              <w:rPr>
                <w:rFonts w:ascii="Arial" w:cs="Arial" w:eastAsia="Arial" w:hAnsi="Arial"/>
                <w:sz w:val="14"/>
                <w:szCs w:val="14"/>
                <w:color w:val="auto"/>
              </w:rPr>
              <w:t>Vesting Date of Awards Granted Prior to year that Vested during</w:t>
            </w:r>
          </w:p>
        </w:tc>
        <w:tc>
          <w:tcPr>
            <w:tcW w:w="880" w:type="dxa"/>
            <w:vAlign w:val="bottom"/>
            <w:shd w:val="clear" w:color="auto" w:fill="EEFAEC"/>
          </w:tcPr>
          <w:p>
            <w:pPr>
              <w:spacing w:after="0"/>
              <w:rPr>
                <w:sz w:val="15"/>
                <w:szCs w:val="15"/>
                <w:color w:val="auto"/>
              </w:rPr>
            </w:pPr>
          </w:p>
        </w:tc>
        <w:tc>
          <w:tcPr>
            <w:tcW w:w="860" w:type="dxa"/>
            <w:vAlign w:val="bottom"/>
            <w:shd w:val="clear" w:color="auto" w:fill="EEFAEC"/>
          </w:tcPr>
          <w:p>
            <w:pPr>
              <w:spacing w:after="0"/>
              <w:rPr>
                <w:sz w:val="15"/>
                <w:szCs w:val="15"/>
                <w:color w:val="auto"/>
              </w:rPr>
            </w:pPr>
          </w:p>
        </w:tc>
        <w:tc>
          <w:tcPr>
            <w:tcW w:w="840" w:type="dxa"/>
            <w:vAlign w:val="bottom"/>
            <w:shd w:val="clear" w:color="auto" w:fill="EEFAEC"/>
          </w:tcPr>
          <w:p>
            <w:pPr>
              <w:spacing w:after="0"/>
              <w:rPr>
                <w:sz w:val="15"/>
                <w:szCs w:val="15"/>
                <w:color w:val="auto"/>
              </w:rPr>
            </w:pPr>
          </w:p>
        </w:tc>
        <w:tc>
          <w:tcPr>
            <w:tcW w:w="860" w:type="dxa"/>
            <w:vAlign w:val="bottom"/>
            <w:shd w:val="clear" w:color="auto" w:fill="EEFAEC"/>
          </w:tcPr>
          <w:p>
            <w:pPr>
              <w:spacing w:after="0"/>
              <w:rPr>
                <w:sz w:val="15"/>
                <w:szCs w:val="15"/>
                <w:color w:val="auto"/>
              </w:rPr>
            </w:pPr>
          </w:p>
        </w:tc>
        <w:tc>
          <w:tcPr>
            <w:tcW w:w="800" w:type="dxa"/>
            <w:vAlign w:val="bottom"/>
            <w:shd w:val="clear" w:color="auto" w:fill="EEFAEC"/>
          </w:tcPr>
          <w:p>
            <w:pPr>
              <w:spacing w:after="0"/>
              <w:rPr>
                <w:sz w:val="15"/>
                <w:szCs w:val="15"/>
                <w:color w:val="auto"/>
              </w:rPr>
            </w:pPr>
          </w:p>
        </w:tc>
      </w:tr>
      <w:tr>
        <w:trPr>
          <w:trHeight w:val="217"/>
        </w:trPr>
        <w:tc>
          <w:tcPr>
            <w:tcW w:w="4240" w:type="dxa"/>
            <w:vAlign w:val="bottom"/>
            <w:tcBorders>
              <w:bottom w:val="single" w:sz="8" w:color="EEFAEC"/>
            </w:tcBorders>
            <w:shd w:val="clear" w:color="auto" w:fill="EEFAEC"/>
          </w:tcPr>
          <w:p>
            <w:pPr>
              <w:ind w:left="60"/>
              <w:spacing w:after="0"/>
              <w:rPr>
                <w:sz w:val="20"/>
                <w:szCs w:val="20"/>
                <w:color w:val="auto"/>
              </w:rPr>
            </w:pPr>
            <w:r>
              <w:rPr>
                <w:rFonts w:ascii="Arial" w:cs="Arial" w:eastAsia="Arial" w:hAnsi="Arial"/>
                <w:sz w:val="14"/>
                <w:szCs w:val="14"/>
                <w:color w:val="auto"/>
              </w:rPr>
              <w:t>year ($)</w:t>
            </w:r>
          </w:p>
        </w:tc>
        <w:tc>
          <w:tcPr>
            <w:tcW w:w="880" w:type="dxa"/>
            <w:vAlign w:val="bottom"/>
            <w:tcBorders>
              <w:bottom w:val="single" w:sz="8" w:color="EEFAEC"/>
            </w:tcBorders>
            <w:shd w:val="clear" w:color="auto" w:fill="EEFAEC"/>
          </w:tcPr>
          <w:p>
            <w:pPr>
              <w:spacing w:after="0"/>
              <w:rPr>
                <w:sz w:val="18"/>
                <w:szCs w:val="18"/>
                <w:color w:val="auto"/>
              </w:rPr>
            </w:pPr>
          </w:p>
        </w:tc>
        <w:tc>
          <w:tcPr>
            <w:tcW w:w="860" w:type="dxa"/>
            <w:vAlign w:val="bottom"/>
            <w:tcBorders>
              <w:bottom w:val="single" w:sz="8" w:color="EEFAEC"/>
            </w:tcBorders>
            <w:shd w:val="clear" w:color="auto" w:fill="EEFAEC"/>
          </w:tcPr>
          <w:p>
            <w:pPr>
              <w:spacing w:after="0"/>
              <w:rPr>
                <w:sz w:val="18"/>
                <w:szCs w:val="18"/>
                <w:color w:val="auto"/>
              </w:rPr>
            </w:pPr>
          </w:p>
        </w:tc>
        <w:tc>
          <w:tcPr>
            <w:tcW w:w="840" w:type="dxa"/>
            <w:vAlign w:val="bottom"/>
            <w:tcBorders>
              <w:bottom w:val="single" w:sz="8" w:color="EEFAEC"/>
            </w:tcBorders>
            <w:shd w:val="clear" w:color="auto" w:fill="EEFAEC"/>
          </w:tcPr>
          <w:p>
            <w:pPr>
              <w:spacing w:after="0"/>
              <w:rPr>
                <w:sz w:val="18"/>
                <w:szCs w:val="18"/>
                <w:color w:val="auto"/>
              </w:rPr>
            </w:pPr>
          </w:p>
        </w:tc>
        <w:tc>
          <w:tcPr>
            <w:tcW w:w="860" w:type="dxa"/>
            <w:vAlign w:val="bottom"/>
            <w:tcBorders>
              <w:bottom w:val="single" w:sz="8" w:color="EEFAEC"/>
            </w:tcBorders>
            <w:shd w:val="clear" w:color="auto" w:fill="EEFAEC"/>
          </w:tcPr>
          <w:p>
            <w:pPr>
              <w:spacing w:after="0"/>
              <w:rPr>
                <w:sz w:val="18"/>
                <w:szCs w:val="18"/>
                <w:color w:val="auto"/>
              </w:rPr>
            </w:pPr>
          </w:p>
        </w:tc>
        <w:tc>
          <w:tcPr>
            <w:tcW w:w="800" w:type="dxa"/>
            <w:vAlign w:val="bottom"/>
            <w:tcBorders>
              <w:bottom w:val="single" w:sz="8" w:color="EEFAEC"/>
            </w:tcBorders>
            <w:shd w:val="clear" w:color="auto" w:fill="EEFAEC"/>
          </w:tcPr>
          <w:p>
            <w:pPr>
              <w:spacing w:after="0"/>
              <w:rPr>
                <w:sz w:val="18"/>
                <w:szCs w:val="18"/>
                <w:color w:val="auto"/>
              </w:rPr>
            </w:pPr>
          </w:p>
        </w:tc>
      </w:tr>
      <w:tr>
        <w:trPr>
          <w:trHeight w:val="173"/>
        </w:trPr>
        <w:tc>
          <w:tcPr>
            <w:tcW w:w="4240" w:type="dxa"/>
            <w:vAlign w:val="bottom"/>
            <w:tcBorders>
              <w:top w:val="single" w:sz="8" w:color="E6E6E6"/>
            </w:tcBorders>
          </w:tcPr>
          <w:p>
            <w:pPr>
              <w:ind w:left="60"/>
              <w:spacing w:after="0"/>
              <w:rPr>
                <w:sz w:val="20"/>
                <w:szCs w:val="20"/>
                <w:color w:val="auto"/>
              </w:rPr>
            </w:pPr>
            <w:r>
              <w:rPr>
                <w:rFonts w:ascii="Arial" w:cs="Arial" w:eastAsia="Arial" w:hAnsi="Arial"/>
                <w:sz w:val="14"/>
                <w:szCs w:val="14"/>
                <w:color w:val="auto"/>
              </w:rPr>
              <w:t>Deduct: Fair Value of Awards Granted Prior to year that were</w:t>
            </w:r>
          </w:p>
        </w:tc>
        <w:tc>
          <w:tcPr>
            <w:tcW w:w="88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(2,639,788)</w:t>
            </w:r>
          </w:p>
        </w:tc>
        <w:tc>
          <w:tcPr>
            <w:tcW w:w="86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(993,174)</w:t>
            </w:r>
          </w:p>
        </w:tc>
        <w:tc>
          <w:tcPr>
            <w:tcW w:w="84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(350,703)</w:t>
            </w:r>
          </w:p>
        </w:tc>
        <w:tc>
          <w:tcPr>
            <w:tcW w:w="860" w:type="dxa"/>
            <w:vAlign w:val="bottom"/>
            <w:tcBorders>
              <w:top w:val="single" w:sz="8" w:color="E6E6E6"/>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E6E6E6"/>
            </w:tcBorders>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4240" w:type="dxa"/>
            <w:vAlign w:val="bottom"/>
            <w:tcBorders>
              <w:bottom w:val="single" w:sz="8" w:color="E6E6E6"/>
            </w:tcBorders>
          </w:tcPr>
          <w:p>
            <w:pPr>
              <w:ind w:left="60"/>
              <w:spacing w:after="0"/>
              <w:rPr>
                <w:sz w:val="20"/>
                <w:szCs w:val="20"/>
                <w:color w:val="auto"/>
              </w:rPr>
            </w:pPr>
            <w:r>
              <w:rPr>
                <w:rFonts w:ascii="Arial" w:cs="Arial" w:eastAsia="Arial" w:hAnsi="Arial"/>
                <w:sz w:val="14"/>
                <w:szCs w:val="14"/>
                <w:color w:val="auto"/>
              </w:rPr>
              <w:t>Forfeited during year ($)</w:t>
            </w:r>
          </w:p>
        </w:tc>
        <w:tc>
          <w:tcPr>
            <w:tcW w:w="880" w:type="dxa"/>
            <w:vAlign w:val="bottom"/>
            <w:tcBorders>
              <w:bottom w:val="single" w:sz="8" w:color="E6E6E6"/>
            </w:tcBorders>
          </w:tcPr>
          <w:p>
            <w:pPr>
              <w:spacing w:after="0"/>
              <w:rPr>
                <w:sz w:val="16"/>
                <w:szCs w:val="16"/>
                <w:color w:val="auto"/>
              </w:rPr>
            </w:pPr>
          </w:p>
        </w:tc>
        <w:tc>
          <w:tcPr>
            <w:tcW w:w="860" w:type="dxa"/>
            <w:vAlign w:val="bottom"/>
            <w:tcBorders>
              <w:bottom w:val="single" w:sz="8" w:color="E6E6E6"/>
            </w:tcBorders>
          </w:tcPr>
          <w:p>
            <w:pPr>
              <w:spacing w:after="0"/>
              <w:rPr>
                <w:sz w:val="16"/>
                <w:szCs w:val="16"/>
                <w:color w:val="auto"/>
              </w:rPr>
            </w:pPr>
          </w:p>
        </w:tc>
        <w:tc>
          <w:tcPr>
            <w:tcW w:w="840" w:type="dxa"/>
            <w:vAlign w:val="bottom"/>
            <w:tcBorders>
              <w:bottom w:val="single" w:sz="8" w:color="E6E6E6"/>
            </w:tcBorders>
          </w:tcPr>
          <w:p>
            <w:pPr>
              <w:spacing w:after="0"/>
              <w:rPr>
                <w:sz w:val="16"/>
                <w:szCs w:val="16"/>
                <w:color w:val="auto"/>
              </w:rPr>
            </w:pPr>
          </w:p>
        </w:tc>
        <w:tc>
          <w:tcPr>
            <w:tcW w:w="860" w:type="dxa"/>
            <w:vAlign w:val="bottom"/>
            <w:tcBorders>
              <w:bottom w:val="single" w:sz="8" w:color="E6E6E6"/>
            </w:tcBorders>
          </w:tcPr>
          <w:p>
            <w:pPr>
              <w:spacing w:after="0"/>
              <w:rPr>
                <w:sz w:val="16"/>
                <w:szCs w:val="16"/>
                <w:color w:val="auto"/>
              </w:rPr>
            </w:pPr>
          </w:p>
        </w:tc>
        <w:tc>
          <w:tcPr>
            <w:tcW w:w="800" w:type="dxa"/>
            <w:vAlign w:val="bottom"/>
            <w:tcBorders>
              <w:bottom w:val="single" w:sz="8" w:color="E6E6E6"/>
            </w:tcBorders>
          </w:tcPr>
          <w:p>
            <w:pPr>
              <w:spacing w:after="0"/>
              <w:rPr>
                <w:sz w:val="16"/>
                <w:szCs w:val="16"/>
                <w:color w:val="auto"/>
              </w:rPr>
            </w:pPr>
          </w:p>
        </w:tc>
      </w:tr>
      <w:tr>
        <w:trPr>
          <w:trHeight w:val="200"/>
        </w:trPr>
        <w:tc>
          <w:tcPr>
            <w:tcW w:w="4240" w:type="dxa"/>
            <w:vAlign w:val="bottom"/>
            <w:tcBorders>
              <w:bottom w:val="single" w:sz="8" w:color="431C5B"/>
            </w:tcBorders>
            <w:shd w:val="clear" w:color="auto" w:fill="EEFAEC"/>
          </w:tcPr>
          <w:p>
            <w:pPr>
              <w:ind w:left="60"/>
              <w:spacing w:after="0"/>
              <w:rPr>
                <w:sz w:val="20"/>
                <w:szCs w:val="20"/>
                <w:color w:val="auto"/>
              </w:rPr>
            </w:pPr>
            <w:r>
              <w:rPr>
                <w:rFonts w:ascii="Arial" w:cs="Arial" w:eastAsia="Arial" w:hAnsi="Arial"/>
                <w:sz w:val="14"/>
                <w:szCs w:val="14"/>
                <w:color w:val="auto"/>
              </w:rPr>
              <w:t>Compensation Actually Paid ($)</w:t>
            </w:r>
          </w:p>
        </w:tc>
        <w:tc>
          <w:tcPr>
            <w:tcW w:w="880" w:type="dxa"/>
            <w:vAlign w:val="bottom"/>
            <w:tcBorders>
              <w:bottom w:val="single" w:sz="8" w:color="431C5B"/>
            </w:tcBorders>
            <w:shd w:val="clear" w:color="auto" w:fill="EEFAEC"/>
          </w:tcPr>
          <w:p>
            <w:pPr>
              <w:jc w:val="right"/>
              <w:ind w:right="30"/>
              <w:spacing w:after="0"/>
              <w:rPr>
                <w:sz w:val="20"/>
                <w:szCs w:val="20"/>
                <w:color w:val="auto"/>
              </w:rPr>
            </w:pPr>
            <w:r>
              <w:rPr>
                <w:rFonts w:ascii="Arial" w:cs="Arial" w:eastAsia="Arial" w:hAnsi="Arial"/>
                <w:sz w:val="14"/>
                <w:szCs w:val="14"/>
                <w:color w:val="auto"/>
              </w:rPr>
              <w:t>2,697,249</w:t>
            </w:r>
          </w:p>
        </w:tc>
        <w:tc>
          <w:tcPr>
            <w:tcW w:w="860" w:type="dxa"/>
            <w:vAlign w:val="bottom"/>
            <w:tcBorders>
              <w:bottom w:val="single" w:sz="8" w:color="431C5B"/>
            </w:tcBorders>
            <w:shd w:val="clear" w:color="auto" w:fill="EEFAEC"/>
          </w:tcPr>
          <w:p>
            <w:pPr>
              <w:jc w:val="right"/>
              <w:ind w:right="30"/>
              <w:spacing w:after="0"/>
              <w:rPr>
                <w:sz w:val="20"/>
                <w:szCs w:val="20"/>
                <w:color w:val="auto"/>
              </w:rPr>
            </w:pPr>
            <w:r>
              <w:rPr>
                <w:rFonts w:ascii="Arial" w:cs="Arial" w:eastAsia="Arial" w:hAnsi="Arial"/>
                <w:sz w:val="14"/>
                <w:szCs w:val="14"/>
                <w:color w:val="auto"/>
              </w:rPr>
              <w:t>2,582,104</w:t>
            </w:r>
          </w:p>
        </w:tc>
        <w:tc>
          <w:tcPr>
            <w:tcW w:w="840" w:type="dxa"/>
            <w:vAlign w:val="bottom"/>
            <w:tcBorders>
              <w:bottom w:val="single" w:sz="8" w:color="431C5B"/>
            </w:tcBorders>
            <w:shd w:val="clear" w:color="auto" w:fill="EEFAEC"/>
          </w:tcPr>
          <w:p>
            <w:pPr>
              <w:jc w:val="right"/>
              <w:ind w:right="30"/>
              <w:spacing w:after="0"/>
              <w:rPr>
                <w:sz w:val="20"/>
                <w:szCs w:val="20"/>
                <w:color w:val="auto"/>
              </w:rPr>
            </w:pPr>
            <w:r>
              <w:rPr>
                <w:rFonts w:ascii="Arial" w:cs="Arial" w:eastAsia="Arial" w:hAnsi="Arial"/>
                <w:sz w:val="14"/>
                <w:szCs w:val="14"/>
                <w:color w:val="auto"/>
              </w:rPr>
              <w:t>5,523,077</w:t>
            </w:r>
          </w:p>
        </w:tc>
        <w:tc>
          <w:tcPr>
            <w:tcW w:w="860" w:type="dxa"/>
            <w:vAlign w:val="bottom"/>
            <w:tcBorders>
              <w:bottom w:val="single" w:sz="8" w:color="431C5B"/>
            </w:tcBorders>
            <w:shd w:val="clear" w:color="auto" w:fill="EEFAEC"/>
          </w:tcPr>
          <w:p>
            <w:pPr>
              <w:jc w:val="right"/>
              <w:ind w:right="30"/>
              <w:spacing w:after="0"/>
              <w:rPr>
                <w:sz w:val="20"/>
                <w:szCs w:val="20"/>
                <w:color w:val="auto"/>
              </w:rPr>
            </w:pPr>
            <w:r>
              <w:rPr>
                <w:rFonts w:ascii="Arial" w:cs="Arial" w:eastAsia="Arial" w:hAnsi="Arial"/>
                <w:sz w:val="14"/>
                <w:szCs w:val="14"/>
                <w:color w:val="auto"/>
              </w:rPr>
              <w:t>10,873,143</w:t>
            </w:r>
          </w:p>
        </w:tc>
        <w:tc>
          <w:tcPr>
            <w:tcW w:w="80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4"/>
                <w:szCs w:val="14"/>
                <w:color w:val="auto"/>
              </w:rPr>
              <w:t>4,927,839</w:t>
            </w:r>
          </w:p>
        </w:tc>
      </w:tr>
    </w:tbl>
    <w:p>
      <w:pPr>
        <w:spacing w:after="0" w:line="212" w:lineRule="exact"/>
        <w:rPr>
          <w:sz w:val="20"/>
          <w:szCs w:val="20"/>
          <w:color w:val="auto"/>
        </w:rPr>
      </w:pPr>
    </w:p>
    <w:p>
      <w:pPr>
        <w:ind w:left="640" w:right="259" w:hanging="251"/>
        <w:spacing w:after="0" w:line="289" w:lineRule="auto"/>
        <w:tabs>
          <w:tab w:leader="none" w:pos="640" w:val="left"/>
        </w:tabs>
        <w:numPr>
          <w:ilvl w:val="1"/>
          <w:numId w:val="121"/>
        </w:numPr>
        <w:rPr>
          <w:rFonts w:ascii="Arial" w:cs="Arial" w:eastAsia="Arial" w:hAnsi="Arial"/>
          <w:sz w:val="12"/>
          <w:szCs w:val="12"/>
          <w:color w:val="auto"/>
        </w:rPr>
      </w:pPr>
      <w:r>
        <w:rPr>
          <w:rFonts w:ascii="Arial" w:cs="Arial" w:eastAsia="Arial" w:hAnsi="Arial"/>
          <w:sz w:val="12"/>
          <w:szCs w:val="12"/>
          <w:color w:val="auto"/>
        </w:rPr>
        <w:t>Categories with no values are excluded from the table above, which include: deduction for change in the actuarial present values, increase for service cost for pension plans, increase based upon incremental fair value of awards modified during year, and increase based on dividends or other earnings paid during year prior to the vesting date of an award. The fair value of the stock options was determined using the Black-Scholes option pricing model. Adjustments have been made using stock option fair values as of each measurement date using the stock price, term, volatility, dividend yield, and risk-free rate as of the measurement date. The fair value of performance stock units with market condition was determined using the Monte Carlo model. The fair value of the performance stock units without market condition was determined using stock price at each measurement date and is based on (i) actual achievement of performance conditions for performance period completed or (ii) probable outcome of performance conditions as of each measurement date for performance periods not completed. For the fair value of time-vested restricted stock units, grant date fair values are based on stock price as of each measurement date. The fair value calculation used herein is consistent with the fair value methodology used to account for share-based payments in our financial statements.</w:t>
      </w:r>
    </w:p>
    <w:p>
      <w:pPr>
        <w:spacing w:after="0" w:line="25" w:lineRule="exact"/>
        <w:rPr>
          <w:rFonts w:ascii="Arial" w:cs="Arial" w:eastAsia="Arial" w:hAnsi="Arial"/>
          <w:sz w:val="12"/>
          <w:szCs w:val="12"/>
          <w:color w:val="auto"/>
        </w:rPr>
      </w:pPr>
    </w:p>
    <w:p>
      <w:pPr>
        <w:ind w:left="380" w:right="239" w:hanging="250"/>
        <w:spacing w:after="0" w:line="245" w:lineRule="auto"/>
        <w:tabs>
          <w:tab w:leader="none" w:pos="380" w:val="left"/>
        </w:tabs>
        <w:numPr>
          <w:ilvl w:val="0"/>
          <w:numId w:val="122"/>
        </w:numPr>
        <w:rPr>
          <w:rFonts w:ascii="Arial" w:cs="Arial" w:eastAsia="Arial" w:hAnsi="Arial"/>
          <w:sz w:val="16"/>
          <w:szCs w:val="16"/>
          <w:color w:val="auto"/>
          <w:vertAlign w:val="superscript"/>
        </w:rPr>
      </w:pPr>
      <w:r>
        <w:rPr>
          <w:rFonts w:ascii="Arial" w:cs="Arial" w:eastAsia="Arial" w:hAnsi="Arial"/>
          <w:sz w:val="13"/>
          <w:szCs w:val="13"/>
          <w:color w:val="auto"/>
        </w:rPr>
        <w:t>For the relevant fiscal year, represents the cumulative TSR of FIS including reinvestment of dividends for the measurement periods beginning on December 31, 2020 and ending on December 31 of each year 2025, 2024, 2023, 2022 and 2021, respectively, assuming the value of the investment in our common stock was $100.</w:t>
      </w:r>
    </w:p>
    <w:p>
      <w:pPr>
        <w:spacing w:after="0" w:line="46" w:lineRule="exact"/>
        <w:rPr>
          <w:rFonts w:ascii="Arial" w:cs="Arial" w:eastAsia="Arial" w:hAnsi="Arial"/>
          <w:sz w:val="16"/>
          <w:szCs w:val="16"/>
          <w:color w:val="auto"/>
          <w:vertAlign w:val="superscript"/>
        </w:rPr>
      </w:pPr>
    </w:p>
    <w:p>
      <w:pPr>
        <w:ind w:left="380" w:right="159" w:hanging="250"/>
        <w:spacing w:after="0" w:line="254" w:lineRule="auto"/>
        <w:tabs>
          <w:tab w:leader="none" w:pos="380" w:val="left"/>
        </w:tabs>
        <w:numPr>
          <w:ilvl w:val="0"/>
          <w:numId w:val="122"/>
        </w:numPr>
        <w:rPr>
          <w:rFonts w:ascii="Arial" w:cs="Arial" w:eastAsia="Arial" w:hAnsi="Arial"/>
          <w:sz w:val="16"/>
          <w:szCs w:val="16"/>
          <w:color w:val="auto"/>
          <w:vertAlign w:val="superscript"/>
        </w:rPr>
      </w:pPr>
      <w:r>
        <w:rPr>
          <w:rFonts w:ascii="Arial" w:cs="Arial" w:eastAsia="Arial" w:hAnsi="Arial"/>
          <w:sz w:val="13"/>
          <w:szCs w:val="13"/>
          <w:color w:val="auto"/>
        </w:rPr>
        <w:t>For the relevant fiscal year, represents the cumulative TSR of the S&amp;P Supercap Data Processing &amp; Outsourced Services Index (the same industry index we use for purposes of the comparative total shareholder return graph in our Annual Report on Form 10-K for the year ended December 31, 2025) including reinvestment of dividends.</w:t>
      </w:r>
    </w:p>
    <w:p>
      <w:pPr>
        <w:spacing w:after="0" w:line="42" w:lineRule="exact"/>
        <w:rPr>
          <w:rFonts w:ascii="Arial" w:cs="Arial" w:eastAsia="Arial" w:hAnsi="Arial"/>
          <w:sz w:val="16"/>
          <w:szCs w:val="16"/>
          <w:color w:val="auto"/>
          <w:vertAlign w:val="superscript"/>
        </w:rPr>
      </w:pPr>
    </w:p>
    <w:p>
      <w:pPr>
        <w:ind w:left="380" w:right="459" w:hanging="250"/>
        <w:spacing w:after="0" w:line="236" w:lineRule="auto"/>
        <w:tabs>
          <w:tab w:leader="none" w:pos="380" w:val="left"/>
        </w:tabs>
        <w:numPr>
          <w:ilvl w:val="0"/>
          <w:numId w:val="122"/>
        </w:numPr>
        <w:rPr>
          <w:rFonts w:ascii="Arial" w:cs="Arial" w:eastAsia="Arial" w:hAnsi="Arial"/>
          <w:sz w:val="16"/>
          <w:szCs w:val="16"/>
          <w:color w:val="auto"/>
          <w:vertAlign w:val="superscript"/>
        </w:rPr>
      </w:pPr>
      <w:r>
        <w:rPr>
          <w:rFonts w:ascii="Arial" w:cs="Arial" w:eastAsia="Arial" w:hAnsi="Arial"/>
          <w:sz w:val="13"/>
          <w:szCs w:val="13"/>
          <w:color w:val="auto"/>
        </w:rPr>
        <w:t>Reflects “Net Income” in the Company's Consolidated Income Statements included in the Company’s Annual Reports on Form 10-K for each of the years ended December 31, 2025, 2024, 2023, 2022 and 2021.</w:t>
      </w:r>
    </w:p>
    <w:p>
      <w:pPr>
        <w:spacing w:after="0" w:line="50" w:lineRule="exact"/>
        <w:rPr>
          <w:rFonts w:ascii="Arial" w:cs="Arial" w:eastAsia="Arial" w:hAnsi="Arial"/>
          <w:sz w:val="16"/>
          <w:szCs w:val="16"/>
          <w:color w:val="auto"/>
          <w:vertAlign w:val="superscript"/>
        </w:rPr>
      </w:pPr>
    </w:p>
    <w:p>
      <w:pPr>
        <w:ind w:left="380" w:right="179" w:hanging="250"/>
        <w:spacing w:after="0" w:line="257" w:lineRule="auto"/>
        <w:tabs>
          <w:tab w:leader="none" w:pos="380" w:val="left"/>
        </w:tabs>
        <w:numPr>
          <w:ilvl w:val="0"/>
          <w:numId w:val="122"/>
        </w:numPr>
        <w:rPr>
          <w:rFonts w:ascii="Arial" w:cs="Arial" w:eastAsia="Arial" w:hAnsi="Arial"/>
          <w:sz w:val="16"/>
          <w:szCs w:val="16"/>
          <w:color w:val="auto"/>
          <w:vertAlign w:val="superscript"/>
        </w:rPr>
      </w:pPr>
      <w:r>
        <w:rPr>
          <w:rFonts w:ascii="Arial" w:cs="Arial" w:eastAsia="Arial" w:hAnsi="Arial"/>
          <w:sz w:val="13"/>
          <w:szCs w:val="13"/>
          <w:color w:val="auto"/>
        </w:rPr>
        <w:t>Company-selected Measure is the revenue metric used for the 2025 annual incentive program, which is based on GAAP revenue adjusted for the impact of foreign currency exchange rates and excludes the impact of acquisitions and divestitures. For years prior to 2024, the revenue metric is based on GAAP revenue as well as revenue from discontinued operations, adjusted for the impact of foreign currency exchange rates. This metric is an important measure of the growth of the Company, our ability to satisfy our customers and to gain new customers, and the effectiveness of our products and solutions.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hanging="429"/>
        <w:spacing w:after="0"/>
        <w:tabs>
          <w:tab w:leader="none" w:pos="620" w:val="left"/>
        </w:tabs>
        <w:numPr>
          <w:ilvl w:val="0"/>
          <w:numId w:val="123"/>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87" w:name="page88"/>
    <w:bookmarkEnd w:id="87"/>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31C5B"/>
        </w:rPr>
        <w:t>COMPENSATION ACTUALLY PAID VS. FIS AND PEER GROUP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20"/>
        <w:spacing w:after="0"/>
        <w:tabs>
          <w:tab w:leader="none" w:pos="5760" w:val="left"/>
          <w:tab w:leader="none" w:pos="7560" w:val="left"/>
        </w:tabs>
        <w:rPr>
          <w:sz w:val="20"/>
          <w:szCs w:val="20"/>
          <w:color w:val="auto"/>
        </w:rPr>
      </w:pPr>
      <w:r>
        <w:rPr>
          <w:rFonts w:ascii="Arial" w:cs="Arial" w:eastAsia="Arial" w:hAnsi="Arial"/>
          <w:sz w:val="16"/>
          <w:szCs w:val="16"/>
          <w:color w:val="auto"/>
        </w:rPr>
        <w:t xml:space="preserve">PEO #1         </w:t>
      </w:r>
      <w:r>
        <w:rPr>
          <w:sz w:val="1"/>
          <w:szCs w:val="1"/>
          <w:color w:val="auto"/>
        </w:rPr>
        <w:drawing>
          <wp:inline distT="0" distB="0" distL="0" distR="0">
            <wp:extent cx="179705" cy="6858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9705" cy="68580"/>
                    </a:xfrm>
                    <a:prstGeom prst="rect">
                      <a:avLst/>
                    </a:prstGeom>
                    <a:noFill/>
                    <a:ln>
                      <a:noFill/>
                    </a:ln>
                  </pic:spPr>
                </pic:pic>
              </a:graphicData>
            </a:graphic>
          </wp:inline>
        </w:drawing>
      </w:r>
      <w:r>
        <w:rPr>
          <w:rFonts w:ascii="Arial" w:cs="Arial" w:eastAsia="Arial" w:hAnsi="Arial"/>
          <w:sz w:val="16"/>
          <w:szCs w:val="16"/>
          <w:color w:val="auto"/>
        </w:rPr>
        <w:t xml:space="preserve"> PEO #2         </w:t>
      </w:r>
      <w:r>
        <w:rPr>
          <w:sz w:val="1"/>
          <w:szCs w:val="1"/>
          <w:color w:val="auto"/>
        </w:rPr>
        <w:drawing>
          <wp:inline distT="0" distB="0" distL="0" distR="0">
            <wp:extent cx="188595" cy="6858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8595" cy="68580"/>
                    </a:xfrm>
                    <a:prstGeom prst="rect">
                      <a:avLst/>
                    </a:prstGeom>
                    <a:noFill/>
                    <a:ln>
                      <a:noFill/>
                    </a:ln>
                  </pic:spPr>
                </pic:pic>
              </a:graphicData>
            </a:graphic>
          </wp:inline>
        </w:drawing>
      </w:r>
      <w:r>
        <w:rPr>
          <w:rFonts w:ascii="Arial" w:cs="Arial" w:eastAsia="Arial" w:hAnsi="Arial"/>
          <w:sz w:val="16"/>
          <w:szCs w:val="16"/>
          <w:color w:val="auto"/>
        </w:rPr>
        <w:t xml:space="preserve"> Avg. NEO</w:t>
      </w:r>
      <w:r>
        <w:rPr>
          <w:sz w:val="20"/>
          <w:szCs w:val="20"/>
          <w:color w:val="auto"/>
        </w:rPr>
        <w:tab/>
      </w:r>
      <w:r>
        <w:rPr>
          <w:rFonts w:ascii="Arial" w:cs="Arial" w:eastAsia="Arial" w:hAnsi="Arial"/>
          <w:sz w:val="16"/>
          <w:szCs w:val="16"/>
          <w:color w:val="auto"/>
        </w:rPr>
        <w:t>FIS TSR</w:t>
      </w:r>
      <w:r>
        <w:rPr>
          <w:sz w:val="20"/>
          <w:szCs w:val="20"/>
          <w:color w:val="auto"/>
        </w:rPr>
        <w:tab/>
      </w:r>
      <w:r>
        <w:rPr>
          <w:rFonts w:ascii="Arial" w:cs="Arial" w:eastAsia="Arial" w:hAnsi="Arial"/>
          <w:sz w:val="16"/>
          <w:szCs w:val="16"/>
          <w:color w:val="auto"/>
        </w:rPr>
        <w:t>Peer TSR</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31C5B"/>
        </w:rPr>
        <w:t>COMPENSATION ACTUALLY PAID VS. FIS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20"/>
        <w:spacing w:after="0"/>
        <w:tabs>
          <w:tab w:leader="none" w:pos="6660" w:val="left"/>
        </w:tabs>
        <w:rPr>
          <w:sz w:val="20"/>
          <w:szCs w:val="20"/>
          <w:color w:val="auto"/>
        </w:rPr>
      </w:pPr>
      <w:r>
        <w:rPr>
          <w:rFonts w:ascii="Arial" w:cs="Arial" w:eastAsia="Arial" w:hAnsi="Arial"/>
          <w:sz w:val="16"/>
          <w:szCs w:val="16"/>
          <w:color w:val="auto"/>
        </w:rPr>
        <w:t xml:space="preserve">PEO #1         </w:t>
      </w:r>
      <w:r>
        <w:rPr>
          <w:sz w:val="1"/>
          <w:szCs w:val="1"/>
          <w:color w:val="auto"/>
        </w:rPr>
        <w:drawing>
          <wp:inline distT="0" distB="0" distL="0" distR="0">
            <wp:extent cx="180340" cy="6858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0340" cy="68580"/>
                    </a:xfrm>
                    <a:prstGeom prst="rect">
                      <a:avLst/>
                    </a:prstGeom>
                    <a:noFill/>
                    <a:ln>
                      <a:noFill/>
                    </a:ln>
                  </pic:spPr>
                </pic:pic>
              </a:graphicData>
            </a:graphic>
          </wp:inline>
        </w:drawing>
      </w:r>
      <w:r>
        <w:rPr>
          <w:rFonts w:ascii="Arial" w:cs="Arial" w:eastAsia="Arial" w:hAnsi="Arial"/>
          <w:sz w:val="16"/>
          <w:szCs w:val="16"/>
          <w:color w:val="auto"/>
        </w:rPr>
        <w:t xml:space="preserve"> PEO #2         </w:t>
      </w:r>
      <w:r>
        <w:rPr>
          <w:sz w:val="1"/>
          <w:szCs w:val="1"/>
          <w:color w:val="auto"/>
        </w:rPr>
        <w:drawing>
          <wp:inline distT="0" distB="0" distL="0" distR="0">
            <wp:extent cx="179705" cy="6858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9705" cy="68580"/>
                    </a:xfrm>
                    <a:prstGeom prst="rect">
                      <a:avLst/>
                    </a:prstGeom>
                    <a:noFill/>
                    <a:ln>
                      <a:noFill/>
                    </a:ln>
                  </pic:spPr>
                </pic:pic>
              </a:graphicData>
            </a:graphic>
          </wp:inline>
        </w:drawing>
      </w:r>
      <w:r>
        <w:rPr>
          <w:rFonts w:ascii="Arial" w:cs="Arial" w:eastAsia="Arial" w:hAnsi="Arial"/>
          <w:sz w:val="16"/>
          <w:szCs w:val="16"/>
          <w:color w:val="auto"/>
        </w:rPr>
        <w:t xml:space="preserve"> Avg. NEO</w:t>
      </w:r>
      <w:r>
        <w:rPr>
          <w:sz w:val="20"/>
          <w:szCs w:val="20"/>
          <w:color w:val="auto"/>
        </w:rPr>
        <w:tab/>
      </w:r>
      <w:r>
        <w:rPr>
          <w:rFonts w:ascii="Arial" w:cs="Arial" w:eastAsia="Arial" w:hAnsi="Arial"/>
          <w:sz w:val="16"/>
          <w:szCs w:val="16"/>
          <w:color w:val="auto"/>
        </w:rPr>
        <w:t>Net Income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85</w:t>
      </w:r>
    </w:p>
    <w:p>
      <w:pPr>
        <w:sectPr>
          <w:pgSz w:w="11900" w:h="16838" w:orient="portrait"/>
          <w:cols w:equalWidth="0" w:num="1">
            <w:col w:w="9019"/>
          </w:cols>
          <w:pgMar w:left="1440" w:top="657" w:right="1440" w:bottom="1440" w:gutter="0" w:footer="0" w:header="0"/>
          <w:type w:val="continuous"/>
        </w:sectPr>
      </w:pPr>
    </w:p>
    <w:bookmarkStart w:id="88" w:name="page89"/>
    <w:bookmarkEnd w:id="88"/>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31C5B"/>
        </w:rPr>
        <w:t>COMPENSATION ACTUALLY PAID VS. FIS ADJUSTED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60"/>
        <w:spacing w:after="0"/>
        <w:tabs>
          <w:tab w:leader="none" w:pos="6720" w:val="left"/>
        </w:tabs>
        <w:rPr>
          <w:sz w:val="20"/>
          <w:szCs w:val="20"/>
          <w:color w:val="auto"/>
        </w:rPr>
      </w:pPr>
      <w:r>
        <w:rPr>
          <w:rFonts w:ascii="Arial" w:cs="Arial" w:eastAsia="Arial" w:hAnsi="Arial"/>
          <w:sz w:val="16"/>
          <w:szCs w:val="16"/>
          <w:color w:val="auto"/>
        </w:rPr>
        <w:t xml:space="preserve">PEO #1         </w:t>
      </w:r>
      <w:r>
        <w:rPr>
          <w:sz w:val="1"/>
          <w:szCs w:val="1"/>
          <w:color w:val="auto"/>
        </w:rPr>
        <w:drawing>
          <wp:inline distT="0" distB="0" distL="0" distR="0">
            <wp:extent cx="180340" cy="6858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0340" cy="68580"/>
                    </a:xfrm>
                    <a:prstGeom prst="rect">
                      <a:avLst/>
                    </a:prstGeom>
                    <a:noFill/>
                    <a:ln>
                      <a:noFill/>
                    </a:ln>
                  </pic:spPr>
                </pic:pic>
              </a:graphicData>
            </a:graphic>
          </wp:inline>
        </w:drawing>
      </w:r>
      <w:r>
        <w:rPr>
          <w:rFonts w:ascii="Arial" w:cs="Arial" w:eastAsia="Arial" w:hAnsi="Arial"/>
          <w:sz w:val="16"/>
          <w:szCs w:val="16"/>
          <w:color w:val="auto"/>
        </w:rPr>
        <w:t xml:space="preserve"> PEO #2         </w:t>
      </w:r>
      <w:r>
        <w:rPr>
          <w:sz w:val="1"/>
          <w:szCs w:val="1"/>
          <w:color w:val="auto"/>
        </w:rPr>
        <w:drawing>
          <wp:inline distT="0" distB="0" distL="0" distR="0">
            <wp:extent cx="179705" cy="6858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9705" cy="68580"/>
                    </a:xfrm>
                    <a:prstGeom prst="rect">
                      <a:avLst/>
                    </a:prstGeom>
                    <a:noFill/>
                    <a:ln>
                      <a:noFill/>
                    </a:ln>
                  </pic:spPr>
                </pic:pic>
              </a:graphicData>
            </a:graphic>
          </wp:inline>
        </w:drawing>
      </w:r>
      <w:r>
        <w:rPr>
          <w:rFonts w:ascii="Arial" w:cs="Arial" w:eastAsia="Arial" w:hAnsi="Arial"/>
          <w:sz w:val="16"/>
          <w:szCs w:val="16"/>
          <w:color w:val="auto"/>
        </w:rPr>
        <w:t xml:space="preserve"> Avg. NEO</w:t>
      </w:r>
      <w:r>
        <w:rPr>
          <w:sz w:val="20"/>
          <w:szCs w:val="20"/>
          <w:color w:val="auto"/>
        </w:rPr>
        <w:tab/>
      </w:r>
      <w:r>
        <w:rPr>
          <w:rFonts w:ascii="Arial" w:cs="Arial" w:eastAsia="Arial" w:hAnsi="Arial"/>
          <w:sz w:val="16"/>
          <w:szCs w:val="16"/>
          <w:color w:val="auto"/>
        </w:rPr>
        <w:t>Adj. Revenue</w:t>
      </w:r>
    </w:p>
    <w:p>
      <w:pPr>
        <w:spacing w:after="0" w:line="239" w:lineRule="exact"/>
        <w:rPr>
          <w:sz w:val="20"/>
          <w:szCs w:val="20"/>
          <w:color w:val="auto"/>
        </w:rPr>
      </w:pPr>
    </w:p>
    <w:p>
      <w:pPr>
        <w:ind w:left="140" w:right="579"/>
        <w:spacing w:after="0" w:line="279" w:lineRule="auto"/>
        <w:rPr>
          <w:sz w:val="20"/>
          <w:szCs w:val="20"/>
          <w:color w:val="auto"/>
        </w:rPr>
      </w:pPr>
      <w:r>
        <w:rPr>
          <w:rFonts w:ascii="Arial" w:cs="Arial" w:eastAsia="Arial" w:hAnsi="Arial"/>
          <w:sz w:val="20"/>
          <w:szCs w:val="20"/>
          <w:b w:val="1"/>
          <w:bCs w:val="1"/>
          <w:color w:val="431C5B"/>
        </w:rPr>
        <w:t>Performance Measures Used to Link Company Performance and Compensation Actually Paid to the NEOs</w:t>
      </w:r>
    </w:p>
    <w:p>
      <w:pPr>
        <w:spacing w:after="0" w:line="1" w:lineRule="exact"/>
        <w:rPr>
          <w:sz w:val="20"/>
          <w:szCs w:val="20"/>
          <w:color w:val="auto"/>
        </w:rPr>
      </w:pPr>
    </w:p>
    <w:p>
      <w:pPr>
        <w:ind w:left="140" w:right="239"/>
        <w:spacing w:after="0" w:line="321" w:lineRule="auto"/>
        <w:rPr>
          <w:sz w:val="20"/>
          <w:szCs w:val="20"/>
          <w:color w:val="auto"/>
        </w:rPr>
      </w:pPr>
      <w:r>
        <w:rPr>
          <w:rFonts w:ascii="Arial" w:cs="Arial" w:eastAsia="Arial" w:hAnsi="Arial"/>
          <w:sz w:val="16"/>
          <w:szCs w:val="16"/>
          <w:color w:val="auto"/>
        </w:rPr>
        <w:t>The following is a list of financial performance measures, which in our assessment represent the most important financial performance measures used by the Company to link compensation actually paid to the NEOs for 2025.</w:t>
      </w:r>
    </w:p>
    <w:p>
      <w:pPr>
        <w:spacing w:after="0" w:line="102" w:lineRule="exact"/>
        <w:rPr>
          <w:sz w:val="20"/>
          <w:szCs w:val="20"/>
          <w:color w:val="auto"/>
        </w:rPr>
      </w:pPr>
    </w:p>
    <w:p>
      <w:pPr>
        <w:ind w:left="520" w:hanging="196"/>
        <w:spacing w:after="0"/>
        <w:tabs>
          <w:tab w:leader="none" w:pos="5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Revenue metric used for annual cash incentive program</w:t>
      </w:r>
    </w:p>
    <w:p>
      <w:pPr>
        <w:spacing w:after="0" w:line="72" w:lineRule="exact"/>
        <w:rPr>
          <w:rFonts w:ascii="Arial" w:cs="Arial" w:eastAsia="Arial" w:hAnsi="Arial"/>
          <w:sz w:val="16"/>
          <w:szCs w:val="16"/>
          <w:color w:val="auto"/>
        </w:rPr>
      </w:pPr>
    </w:p>
    <w:p>
      <w:pPr>
        <w:ind w:left="520" w:hanging="196"/>
        <w:spacing w:after="0"/>
        <w:tabs>
          <w:tab w:leader="none" w:pos="5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EBITDA metric used for annual cash incentive program</w:t>
      </w:r>
    </w:p>
    <w:p>
      <w:pPr>
        <w:spacing w:after="0" w:line="86" w:lineRule="exact"/>
        <w:rPr>
          <w:rFonts w:ascii="Arial" w:cs="Arial" w:eastAsia="Arial" w:hAnsi="Arial"/>
          <w:sz w:val="16"/>
          <w:szCs w:val="16"/>
          <w:color w:val="auto"/>
        </w:rPr>
      </w:pPr>
    </w:p>
    <w:p>
      <w:pPr>
        <w:ind w:left="520" w:hanging="196"/>
        <w:spacing w:after="0"/>
        <w:tabs>
          <w:tab w:leader="none" w:pos="5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EPS metric used for annual cash incentive program</w:t>
      </w:r>
    </w:p>
    <w:p>
      <w:pPr>
        <w:spacing w:after="0" w:line="72" w:lineRule="exact"/>
        <w:rPr>
          <w:rFonts w:ascii="Arial" w:cs="Arial" w:eastAsia="Arial" w:hAnsi="Arial"/>
          <w:sz w:val="16"/>
          <w:szCs w:val="16"/>
          <w:color w:val="auto"/>
        </w:rPr>
      </w:pPr>
    </w:p>
    <w:p>
      <w:pPr>
        <w:ind w:left="520" w:hanging="196"/>
        <w:spacing w:after="0"/>
        <w:tabs>
          <w:tab w:leader="none" w:pos="5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Annual Adjusted Revenue Growth</w:t>
      </w:r>
    </w:p>
    <w:p>
      <w:pPr>
        <w:spacing w:after="0" w:line="86" w:lineRule="exact"/>
        <w:rPr>
          <w:rFonts w:ascii="Arial" w:cs="Arial" w:eastAsia="Arial" w:hAnsi="Arial"/>
          <w:sz w:val="16"/>
          <w:szCs w:val="16"/>
          <w:color w:val="auto"/>
        </w:rPr>
      </w:pPr>
    </w:p>
    <w:p>
      <w:pPr>
        <w:ind w:left="520" w:hanging="196"/>
        <w:spacing w:after="0"/>
        <w:tabs>
          <w:tab w:leader="none" w:pos="5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Annual Adjusted EPS Growth</w:t>
      </w:r>
    </w:p>
    <w:p>
      <w:pPr>
        <w:spacing w:after="0" w:line="86" w:lineRule="exact"/>
        <w:rPr>
          <w:rFonts w:ascii="Arial" w:cs="Arial" w:eastAsia="Arial" w:hAnsi="Arial"/>
          <w:sz w:val="16"/>
          <w:szCs w:val="16"/>
          <w:color w:val="auto"/>
        </w:rPr>
      </w:pPr>
    </w:p>
    <w:p>
      <w:pPr>
        <w:ind w:left="520" w:hanging="196"/>
        <w:spacing w:after="0"/>
        <w:tabs>
          <w:tab w:leader="none" w:pos="5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Relative total shareholder return</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20" w:hanging="429"/>
        <w:spacing w:after="0"/>
        <w:tabs>
          <w:tab w:leader="none" w:pos="620" w:val="left"/>
        </w:tabs>
        <w:numPr>
          <w:ilvl w:val="0"/>
          <w:numId w:val="125"/>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Intentionally Left Blank</w:t>
      </w:r>
    </w:p>
    <w:p>
      <w:pPr>
        <w:sectPr>
          <w:pgSz w:w="11900" w:h="16838" w:orient="portrait"/>
          <w:cols w:equalWidth="0" w:num="1">
            <w:col w:w="9019"/>
          </w:cols>
          <w:pgMar w:left="1440" w:top="1440" w:right="1440"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hanging="429"/>
        <w:spacing w:after="0"/>
        <w:tabs>
          <w:tab w:leader="none" w:pos="620" w:val="left"/>
        </w:tabs>
        <w:numPr>
          <w:ilvl w:val="0"/>
          <w:numId w:val="126"/>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1440" w:right="1440"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180"/>
        <w:spacing w:after="0"/>
        <w:rPr>
          <w:sz w:val="20"/>
          <w:szCs w:val="20"/>
          <w:color w:val="auto"/>
        </w:rPr>
      </w:pPr>
      <w:r>
        <w:rPr>
          <w:rFonts w:ascii="Arial" w:cs="Arial" w:eastAsia="Arial" w:hAnsi="Arial"/>
          <w:sz w:val="65"/>
          <w:szCs w:val="65"/>
          <w:color w:val="4BCD3E"/>
        </w:rPr>
        <w:t>Proposal 3:</w:t>
      </w:r>
    </w:p>
    <w:p>
      <w:pPr>
        <w:spacing w:after="0" w:line="100" w:lineRule="exact"/>
        <w:rPr>
          <w:sz w:val="20"/>
          <w:szCs w:val="20"/>
          <w:color w:val="auto"/>
        </w:rPr>
      </w:pPr>
    </w:p>
    <w:p>
      <w:pPr>
        <w:ind w:left="2180"/>
        <w:spacing w:after="0"/>
        <w:rPr>
          <w:sz w:val="20"/>
          <w:szCs w:val="20"/>
          <w:color w:val="auto"/>
        </w:rPr>
      </w:pPr>
      <w:r>
        <w:rPr>
          <w:rFonts w:ascii="Arial" w:cs="Arial" w:eastAsia="Arial" w:hAnsi="Arial"/>
          <w:sz w:val="65"/>
          <w:szCs w:val="65"/>
          <w:color w:val="4BCD3E"/>
        </w:rPr>
        <w:t>Ratification of</w:t>
      </w:r>
    </w:p>
    <w:p>
      <w:pPr>
        <w:spacing w:after="0" w:line="36" w:lineRule="exact"/>
        <w:rPr>
          <w:sz w:val="20"/>
          <w:szCs w:val="20"/>
          <w:color w:val="auto"/>
        </w:rPr>
      </w:pPr>
    </w:p>
    <w:p>
      <w:pPr>
        <w:ind w:left="2180"/>
        <w:spacing w:after="0"/>
        <w:rPr>
          <w:sz w:val="20"/>
          <w:szCs w:val="20"/>
          <w:color w:val="auto"/>
        </w:rPr>
      </w:pPr>
      <w:r>
        <w:rPr>
          <w:rFonts w:ascii="Arial" w:cs="Arial" w:eastAsia="Arial" w:hAnsi="Arial"/>
          <w:sz w:val="64"/>
          <w:szCs w:val="64"/>
          <w:color w:val="4BCD3E"/>
        </w:rPr>
        <w:t>Independent Registered</w:t>
      </w:r>
    </w:p>
    <w:p>
      <w:pPr>
        <w:spacing w:after="0" w:line="34" w:lineRule="exact"/>
        <w:rPr>
          <w:sz w:val="20"/>
          <w:szCs w:val="20"/>
          <w:color w:val="auto"/>
        </w:rPr>
      </w:pPr>
    </w:p>
    <w:p>
      <w:pPr>
        <w:ind w:left="2180"/>
        <w:spacing w:after="0"/>
        <w:rPr>
          <w:sz w:val="20"/>
          <w:szCs w:val="20"/>
          <w:color w:val="auto"/>
        </w:rPr>
      </w:pPr>
      <w:r>
        <w:rPr>
          <w:rFonts w:ascii="Arial" w:cs="Arial" w:eastAsia="Arial" w:hAnsi="Arial"/>
          <w:sz w:val="65"/>
          <w:szCs w:val="65"/>
          <w:color w:val="4BCD3E"/>
        </w:rPr>
        <w:t>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0" w:right="260"/>
        <w:spacing w:after="0" w:line="340" w:lineRule="auto"/>
        <w:rPr>
          <w:sz w:val="20"/>
          <w:szCs w:val="20"/>
          <w:color w:val="auto"/>
        </w:rPr>
      </w:pPr>
      <w:r>
        <w:rPr>
          <w:rFonts w:ascii="Arial" w:cs="Arial" w:eastAsia="Arial" w:hAnsi="Arial"/>
          <w:sz w:val="15"/>
          <w:szCs w:val="15"/>
          <w:color w:val="auto"/>
        </w:rPr>
        <w:t xml:space="preserve">The Board recommends that the shareholders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ratification of KPMG LLP as the Company’s independent registered public accounting firm for 2026.</w:t>
      </w:r>
    </w:p>
    <w:p>
      <w:pPr>
        <w:sectPr>
          <w:pgSz w:w="11900" w:h="16838" w:orient="portrait"/>
          <w:cols w:equalWidth="0" w:num="1">
            <w:col w:w="9100"/>
          </w:cols>
          <w:pgMar w:left="1440" w:top="144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89</w:t>
      </w:r>
    </w:p>
    <w:p>
      <w:pPr>
        <w:sectPr>
          <w:pgSz w:w="11900" w:h="16838" w:orient="portrait"/>
          <w:cols w:equalWidth="0" w:num="1">
            <w:col w:w="9100"/>
          </w:cols>
          <w:pgMar w:left="1440" w:top="1440" w:right="1359" w:bottom="1440" w:gutter="0" w:footer="0" w:header="0"/>
          <w:type w:val="continuous"/>
        </w:sectPr>
      </w:pPr>
    </w:p>
    <w:bookmarkStart w:id="92" w:name="page93"/>
    <w:bookmarkEnd w:id="92"/>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Proposal No. 3: Ratification of Independent Registered Public Accounting Firm</w:t>
      </w:r>
    </w:p>
    <w:p>
      <w:pPr>
        <w:spacing w:after="0" w:line="385" w:lineRule="exact"/>
        <w:rPr>
          <w:sz w:val="20"/>
          <w:szCs w:val="20"/>
          <w:color w:val="auto"/>
        </w:rPr>
      </w:pPr>
    </w:p>
    <w:p>
      <w:pPr>
        <w:ind w:left="140" w:right="799"/>
        <w:spacing w:after="0" w:line="282" w:lineRule="auto"/>
        <w:rPr>
          <w:sz w:val="20"/>
          <w:szCs w:val="20"/>
          <w:color w:val="auto"/>
        </w:rPr>
      </w:pPr>
      <w:r>
        <w:rPr>
          <w:rFonts w:ascii="Arial" w:cs="Arial" w:eastAsia="Arial" w:hAnsi="Arial"/>
          <w:sz w:val="32"/>
          <w:szCs w:val="32"/>
          <w:b w:val="1"/>
          <w:bCs w:val="1"/>
          <w:color w:val="431C5B"/>
        </w:rPr>
        <w:t>Ratification of KPMG as the Company’s Independent Registered Public Accounting Firm</w:t>
      </w:r>
    </w:p>
    <w:p>
      <w:pPr>
        <w:spacing w:after="0" w:line="2" w:lineRule="exact"/>
        <w:rPr>
          <w:sz w:val="20"/>
          <w:szCs w:val="20"/>
          <w:color w:val="auto"/>
        </w:rPr>
      </w:pPr>
    </w:p>
    <w:p>
      <w:pPr>
        <w:ind w:left="140" w:right="179"/>
        <w:spacing w:after="0" w:line="279" w:lineRule="auto"/>
        <w:rPr>
          <w:sz w:val="20"/>
          <w:szCs w:val="20"/>
          <w:color w:val="auto"/>
        </w:rPr>
      </w:pPr>
      <w:r>
        <w:rPr>
          <w:rFonts w:ascii="Arial" w:cs="Arial" w:eastAsia="Arial" w:hAnsi="Arial"/>
          <w:sz w:val="16"/>
          <w:szCs w:val="16"/>
          <w:color w:val="auto"/>
        </w:rPr>
        <w:t>Although shareholder ratification of the appointment of our independent registered public accounting firm is not required by our Bylaws or otherwise, we are submitting the selection of KPMG to our shareholders for ratification. Even if the selection is ratified, the Audit Committee, in its discretion, may select a different independent registered public accounting firm at any time if it determines that such a change would be in the best interests of the Company and our shareholders. If our shareholders do not ratify the Audit Committee’s selection, the Audit Committee will take that fact into consideration, together with such other factors it deems relevant, in determining its next selection of an independent registered public accounting firm.</w:t>
      </w:r>
    </w:p>
    <w:p>
      <w:pPr>
        <w:spacing w:after="0" w:line="136" w:lineRule="exact"/>
        <w:rPr>
          <w:sz w:val="20"/>
          <w:szCs w:val="20"/>
          <w:color w:val="auto"/>
        </w:rPr>
      </w:pPr>
    </w:p>
    <w:p>
      <w:pPr>
        <w:ind w:left="140" w:right="299"/>
        <w:spacing w:after="0" w:line="282" w:lineRule="auto"/>
        <w:rPr>
          <w:sz w:val="20"/>
          <w:szCs w:val="20"/>
          <w:color w:val="auto"/>
        </w:rPr>
      </w:pPr>
      <w:r>
        <w:rPr>
          <w:rFonts w:ascii="Arial" w:cs="Arial" w:eastAsia="Arial" w:hAnsi="Arial"/>
          <w:sz w:val="16"/>
          <w:szCs w:val="16"/>
          <w:color w:val="auto"/>
        </w:rPr>
        <w:t>In choosing our independent registered public accounting firm, our Audit Committee conducts a comprehensive review of the qualifications of those individuals who will lead and serve on the engagement team, the quality control procedures the firm has established, and any issues raised by the most recent quality control review of the firm. The review also includes matters required to be considered under the SEC rules on “Auditor Independence,” including the nature and extent of non-audit services, to ensure that they will not impair the independence of the accountants.</w:t>
      </w:r>
    </w:p>
    <w:p>
      <w:pPr>
        <w:spacing w:after="0" w:line="134" w:lineRule="exact"/>
        <w:rPr>
          <w:sz w:val="20"/>
          <w:szCs w:val="20"/>
          <w:color w:val="auto"/>
        </w:rPr>
      </w:pPr>
    </w:p>
    <w:p>
      <w:pPr>
        <w:ind w:left="140" w:right="859"/>
        <w:spacing w:after="0" w:line="304" w:lineRule="auto"/>
        <w:rPr>
          <w:sz w:val="20"/>
          <w:szCs w:val="20"/>
          <w:color w:val="auto"/>
        </w:rPr>
      </w:pPr>
      <w:r>
        <w:rPr>
          <w:rFonts w:ascii="Arial" w:cs="Arial" w:eastAsia="Arial" w:hAnsi="Arial"/>
          <w:sz w:val="16"/>
          <w:szCs w:val="16"/>
          <w:color w:val="auto"/>
        </w:rPr>
        <w:t>Representatives of KPMG are expected to be present at the annual meeting. These representatives will have an opportunity to make a statement if they so desire and will be available to respond to appropriate questions.</w:t>
      </w:r>
    </w:p>
    <w:p>
      <w:pPr>
        <w:spacing w:after="0" w:line="13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Principal Accounting Fees and Services</w:t>
      </w:r>
    </w:p>
    <w:p>
      <w:pPr>
        <w:spacing w:after="0" w:line="107" w:lineRule="exact"/>
        <w:rPr>
          <w:sz w:val="20"/>
          <w:szCs w:val="20"/>
          <w:color w:val="auto"/>
        </w:rPr>
      </w:pPr>
    </w:p>
    <w:p>
      <w:pPr>
        <w:jc w:val="both"/>
        <w:ind w:left="140" w:right="379"/>
        <w:spacing w:after="0" w:line="292" w:lineRule="auto"/>
        <w:rPr>
          <w:sz w:val="20"/>
          <w:szCs w:val="20"/>
          <w:color w:val="auto"/>
        </w:rPr>
      </w:pPr>
      <w:r>
        <w:rPr>
          <w:rFonts w:ascii="Arial" w:cs="Arial" w:eastAsia="Arial" w:hAnsi="Arial"/>
          <w:sz w:val="16"/>
          <w:szCs w:val="16"/>
          <w:color w:val="auto"/>
        </w:rPr>
        <w:t>The Audit Committee engaged KPMG to audit the consolidated financial statements of the Company for the 2025 fiscal year. For services rendered to us during or in connection with our fiscal years ended December 31, 2025 and 2024, we were billed the following fees by KPMG:</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Borders>
              <w:bottom w:val="single" w:sz="8" w:color="431C5B"/>
            </w:tcBorders>
          </w:tcPr>
          <w:p>
            <w:pPr>
              <w:spacing w:after="0"/>
              <w:rPr>
                <w:sz w:val="14"/>
                <w:szCs w:val="14"/>
                <w:color w:val="auto"/>
              </w:rPr>
            </w:pPr>
          </w:p>
        </w:tc>
        <w:tc>
          <w:tcPr>
            <w:tcW w:w="2560" w:type="dxa"/>
            <w:vAlign w:val="bottom"/>
            <w:tcBorders>
              <w:bottom w:val="single" w:sz="8" w:color="431C5B"/>
            </w:tcBorders>
          </w:tcPr>
          <w:p>
            <w:pPr>
              <w:spacing w:after="0"/>
              <w:rPr>
                <w:sz w:val="14"/>
                <w:szCs w:val="14"/>
                <w:color w:val="auto"/>
              </w:rPr>
            </w:pPr>
          </w:p>
        </w:tc>
        <w:tc>
          <w:tcPr>
            <w:tcW w:w="1000" w:type="dxa"/>
            <w:vAlign w:val="bottom"/>
            <w:tcBorders>
              <w:bottom w:val="single" w:sz="8" w:color="431C5B"/>
            </w:tcBorders>
          </w:tcPr>
          <w:p>
            <w:pPr>
              <w:jc w:val="right"/>
              <w:ind w:right="81"/>
              <w:spacing w:after="0"/>
              <w:rPr>
                <w:sz w:val="20"/>
                <w:szCs w:val="20"/>
                <w:color w:val="auto"/>
              </w:rPr>
            </w:pPr>
            <w:r>
              <w:rPr>
                <w:rFonts w:ascii="Arial" w:cs="Arial" w:eastAsia="Arial" w:hAnsi="Arial"/>
                <w:sz w:val="14"/>
                <w:szCs w:val="14"/>
                <w:b w:val="1"/>
                <w:bCs w:val="1"/>
                <w:color w:val="431C5B"/>
              </w:rPr>
              <w:t>2025</w:t>
            </w:r>
          </w:p>
        </w:tc>
        <w:tc>
          <w:tcPr>
            <w:tcW w:w="240" w:type="dxa"/>
            <w:vAlign w:val="bottom"/>
            <w:tcBorders>
              <w:bottom w:val="single" w:sz="8" w:color="431C5B"/>
            </w:tcBorders>
          </w:tcPr>
          <w:p>
            <w:pPr>
              <w:spacing w:after="0"/>
              <w:rPr>
                <w:sz w:val="14"/>
                <w:szCs w:val="14"/>
                <w:color w:val="auto"/>
              </w:rPr>
            </w:pPr>
          </w:p>
        </w:tc>
        <w:tc>
          <w:tcPr>
            <w:tcW w:w="90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2024</w:t>
            </w:r>
          </w:p>
        </w:tc>
      </w:tr>
      <w:tr>
        <w:trPr>
          <w:trHeight w:val="236"/>
        </w:trPr>
        <w:tc>
          <w:tcPr>
            <w:tcW w:w="4060" w:type="dxa"/>
            <w:vAlign w:val="bottom"/>
            <w:tcBorders>
              <w:bottom w:val="single" w:sz="8" w:color="E6E6E6"/>
            </w:tcBorders>
            <w:shd w:val="clear" w:color="auto" w:fill="EDFAEC"/>
          </w:tcPr>
          <w:p>
            <w:pPr>
              <w:ind w:left="80"/>
              <w:spacing w:after="0" w:line="237" w:lineRule="exact"/>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25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6E6E6"/>
            </w:tcBorders>
            <w:shd w:val="clear" w:color="auto" w:fill="EDFAEC"/>
          </w:tcPr>
          <w:p>
            <w:pPr>
              <w:jc w:val="right"/>
              <w:ind w:right="101"/>
              <w:spacing w:after="0"/>
              <w:rPr>
                <w:sz w:val="20"/>
                <w:szCs w:val="20"/>
                <w:color w:val="auto"/>
              </w:rPr>
            </w:pPr>
            <w:r>
              <w:rPr>
                <w:rFonts w:ascii="Arial" w:cs="Arial" w:eastAsia="Arial" w:hAnsi="Arial"/>
                <w:sz w:val="16"/>
                <w:szCs w:val="16"/>
                <w:color w:val="auto"/>
                <w:w w:val="99"/>
              </w:rPr>
              <w:t>11,883,995</w:t>
            </w:r>
          </w:p>
        </w:tc>
        <w:tc>
          <w:tcPr>
            <w:tcW w:w="2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12,253,934</w:t>
            </w:r>
          </w:p>
        </w:tc>
      </w:tr>
      <w:tr>
        <w:trPr>
          <w:trHeight w:val="237"/>
        </w:trPr>
        <w:tc>
          <w:tcPr>
            <w:tcW w:w="4060" w:type="dxa"/>
            <w:vAlign w:val="bottom"/>
            <w:tcBorders>
              <w:bottom w:val="single" w:sz="8" w:color="E6E6E6"/>
            </w:tcBorders>
          </w:tcPr>
          <w:p>
            <w:pPr>
              <w:ind w:left="80"/>
              <w:spacing w:after="0" w:line="237" w:lineRule="exact"/>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256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6E6E6"/>
            </w:tcBorders>
          </w:tcPr>
          <w:p>
            <w:pPr>
              <w:jc w:val="right"/>
              <w:ind w:right="101"/>
              <w:spacing w:after="0"/>
              <w:rPr>
                <w:sz w:val="20"/>
                <w:szCs w:val="20"/>
                <w:color w:val="auto"/>
              </w:rPr>
            </w:pPr>
            <w:r>
              <w:rPr>
                <w:rFonts w:ascii="Arial" w:cs="Arial" w:eastAsia="Arial" w:hAnsi="Arial"/>
                <w:sz w:val="16"/>
                <w:szCs w:val="16"/>
                <w:color w:val="auto"/>
              </w:rPr>
              <w:t>337,434</w:t>
            </w:r>
          </w:p>
        </w:tc>
        <w:tc>
          <w:tcPr>
            <w:tcW w:w="24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315,351</w:t>
            </w:r>
          </w:p>
        </w:tc>
      </w:tr>
      <w:tr>
        <w:trPr>
          <w:trHeight w:val="236"/>
        </w:trPr>
        <w:tc>
          <w:tcPr>
            <w:tcW w:w="4060" w:type="dxa"/>
            <w:vAlign w:val="bottom"/>
            <w:tcBorders>
              <w:bottom w:val="single" w:sz="8" w:color="E6E6E6"/>
            </w:tcBorders>
            <w:shd w:val="clear" w:color="auto" w:fill="EDFAEC"/>
          </w:tcPr>
          <w:p>
            <w:pPr>
              <w:ind w:left="80"/>
              <w:spacing w:after="0" w:line="237"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256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6E6E6"/>
            </w:tcBorders>
            <w:shd w:val="clear" w:color="auto" w:fill="EDFAEC"/>
          </w:tcPr>
          <w:p>
            <w:pPr>
              <w:jc w:val="right"/>
              <w:ind w:right="101"/>
              <w:spacing w:after="0"/>
              <w:rPr>
                <w:sz w:val="20"/>
                <w:szCs w:val="20"/>
                <w:color w:val="auto"/>
              </w:rPr>
            </w:pPr>
            <w:r>
              <w:rPr>
                <w:rFonts w:ascii="Arial" w:cs="Arial" w:eastAsia="Arial" w:hAnsi="Arial"/>
                <w:sz w:val="16"/>
                <w:szCs w:val="16"/>
                <w:color w:val="auto"/>
              </w:rPr>
              <w:t>2,385,629</w:t>
            </w:r>
          </w:p>
        </w:tc>
        <w:tc>
          <w:tcPr>
            <w:tcW w:w="24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1,870,201</w:t>
            </w:r>
          </w:p>
        </w:tc>
      </w:tr>
      <w:tr>
        <w:trPr>
          <w:trHeight w:val="237"/>
        </w:trPr>
        <w:tc>
          <w:tcPr>
            <w:tcW w:w="4060" w:type="dxa"/>
            <w:vAlign w:val="bottom"/>
            <w:tcBorders>
              <w:bottom w:val="single" w:sz="8" w:color="431C5B"/>
            </w:tcBorders>
          </w:tcPr>
          <w:p>
            <w:pPr>
              <w:ind w:left="80"/>
              <w:spacing w:after="0" w:line="237"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256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31C5B"/>
            </w:tcBorders>
          </w:tcPr>
          <w:p>
            <w:pPr>
              <w:jc w:val="right"/>
              <w:ind w:right="101"/>
              <w:spacing w:after="0"/>
              <w:rPr>
                <w:sz w:val="20"/>
                <w:szCs w:val="20"/>
                <w:color w:val="auto"/>
              </w:rPr>
            </w:pPr>
            <w:r>
              <w:rPr>
                <w:rFonts w:ascii="Arial" w:cs="Arial" w:eastAsia="Arial" w:hAnsi="Arial"/>
                <w:sz w:val="16"/>
                <w:szCs w:val="16"/>
                <w:color w:val="auto"/>
              </w:rPr>
              <w:t>275,207</w:t>
            </w:r>
          </w:p>
        </w:tc>
        <w:tc>
          <w:tcPr>
            <w:tcW w:w="24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475,002</w:t>
            </w:r>
          </w:p>
        </w:tc>
      </w:tr>
    </w:tbl>
    <w:p>
      <w:pPr>
        <w:spacing w:after="0" w:line="144" w:lineRule="exact"/>
        <w:rPr>
          <w:sz w:val="20"/>
          <w:szCs w:val="20"/>
          <w:color w:val="auto"/>
        </w:rPr>
      </w:pPr>
    </w:p>
    <w:p>
      <w:pPr>
        <w:ind w:left="380" w:right="319" w:hanging="250"/>
        <w:spacing w:after="0" w:line="330" w:lineRule="auto"/>
        <w:tabs>
          <w:tab w:leader="none" w:pos="3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Audit fees consisted of fees for the audits, registration statements and other filings related to the Company’s 2025 and 2024 financial statements, and audits of the Company’s subsidiaries required for regulatory reporting purposes, including billings for out-of-pocket expenses incurred.</w:t>
      </w:r>
    </w:p>
    <w:p>
      <w:pPr>
        <w:spacing w:after="0" w:line="12" w:lineRule="exact"/>
        <w:rPr>
          <w:rFonts w:ascii="Arial" w:cs="Arial" w:eastAsia="Arial" w:hAnsi="Arial"/>
          <w:sz w:val="12"/>
          <w:szCs w:val="12"/>
          <w:color w:val="auto"/>
        </w:rPr>
      </w:pPr>
    </w:p>
    <w:p>
      <w:pPr>
        <w:ind w:left="380" w:hanging="250"/>
        <w:spacing w:after="0"/>
        <w:tabs>
          <w:tab w:leader="none" w:pos="3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Audit-related fees in 2025 and 2024 consisted primarily of fees for various assurance reports.</w:t>
      </w:r>
    </w:p>
    <w:p>
      <w:pPr>
        <w:spacing w:after="0" w:line="66" w:lineRule="exact"/>
        <w:rPr>
          <w:rFonts w:ascii="Arial" w:cs="Arial" w:eastAsia="Arial" w:hAnsi="Arial"/>
          <w:sz w:val="13"/>
          <w:szCs w:val="13"/>
          <w:color w:val="auto"/>
        </w:rPr>
      </w:pPr>
    </w:p>
    <w:p>
      <w:pPr>
        <w:ind w:left="380" w:hanging="250"/>
        <w:spacing w:after="0"/>
        <w:tabs>
          <w:tab w:leader="none" w:pos="3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Tax fees in 2025 and 2024 consisted principally of fees for tax compliance, tax planning and tax advice.</w:t>
      </w:r>
    </w:p>
    <w:p>
      <w:pPr>
        <w:spacing w:after="0" w:line="66" w:lineRule="exact"/>
        <w:rPr>
          <w:rFonts w:ascii="Arial" w:cs="Arial" w:eastAsia="Arial" w:hAnsi="Arial"/>
          <w:sz w:val="13"/>
          <w:szCs w:val="13"/>
          <w:color w:val="auto"/>
        </w:rPr>
      </w:pPr>
    </w:p>
    <w:p>
      <w:pPr>
        <w:ind w:left="380" w:hanging="250"/>
        <w:spacing w:after="0"/>
        <w:tabs>
          <w:tab w:leader="none" w:pos="3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Other non-audit permitted services associated with various initiatives by the Company.</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Approval of Accountants’ Services</w:t>
      </w:r>
    </w:p>
    <w:p>
      <w:pPr>
        <w:spacing w:after="0" w:line="107" w:lineRule="exact"/>
        <w:rPr>
          <w:sz w:val="20"/>
          <w:szCs w:val="20"/>
          <w:color w:val="auto"/>
        </w:rPr>
      </w:pPr>
    </w:p>
    <w:p>
      <w:pPr>
        <w:ind w:left="140" w:right="139"/>
        <w:spacing w:after="0" w:line="279" w:lineRule="auto"/>
        <w:rPr>
          <w:sz w:val="20"/>
          <w:szCs w:val="20"/>
          <w:color w:val="auto"/>
        </w:rPr>
      </w:pPr>
      <w:r>
        <w:rPr>
          <w:rFonts w:ascii="Arial" w:cs="Arial" w:eastAsia="Arial" w:hAnsi="Arial"/>
          <w:sz w:val="16"/>
          <w:szCs w:val="16"/>
          <w:color w:val="auto"/>
        </w:rPr>
        <w:t>In accordance with the requirements of the Sarbanes-Oxley Act of 2002, all audit and audit-related work and all non-audit work performed by KPMG is approved in advance by the Audit Committee. The Audit Committee has adopted policies and procedures for pre-approving work performed by KPMG. Specifically, the Audit Committee has pre-approved the use of KPMG for specific types of services subject to maximum amounts set by the committee. Additionally, specific pre-approval authority is delegated to our Audit Committee chair, provided that the estimated fee for the proposed service does not exceed a pre-approved maximum amount set by the committee. Our Audit Committee chair must report any pre-approval decisions to the Audit Committee at its next scheduled meeting. Any other services are required to be pre-approved by the Audit Committee.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20" w:hanging="429"/>
        <w:spacing w:after="0"/>
        <w:tabs>
          <w:tab w:leader="none" w:pos="620" w:val="left"/>
        </w:tabs>
        <w:numPr>
          <w:ilvl w:val="0"/>
          <w:numId w:val="128"/>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93" w:name="page94"/>
    <w:bookmarkEnd w:id="93"/>
    <w:p>
      <w:pPr>
        <w:ind w:left="140"/>
        <w:spacing w:after="0"/>
        <w:rPr>
          <w:sz w:val="20"/>
          <w:szCs w:val="20"/>
          <w:color w:val="auto"/>
        </w:rPr>
      </w:pPr>
      <w:r>
        <w:rPr>
          <w:rFonts w:ascii="Arial" w:cs="Arial" w:eastAsia="Arial" w:hAnsi="Arial"/>
          <w:sz w:val="54"/>
          <w:szCs w:val="54"/>
          <w:color w:val="FFFF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Report of the</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54"/>
          <w:szCs w:val="54"/>
          <w:color w:val="FFFFFF"/>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0" w:right="319"/>
        <w:spacing w:after="0" w:line="282" w:lineRule="auto"/>
        <w:rPr>
          <w:sz w:val="20"/>
          <w:szCs w:val="20"/>
          <w:color w:val="auto"/>
        </w:rPr>
      </w:pPr>
      <w:r>
        <w:rPr>
          <w:rFonts w:ascii="Arial" w:cs="Arial" w:eastAsia="Arial" w:hAnsi="Arial"/>
          <w:sz w:val="16"/>
          <w:szCs w:val="16"/>
          <w:color w:val="auto"/>
        </w:rPr>
        <w:t>The purpose of the Audit Committee of the Board is primarily to provide independent review and oversight of the Company’s accounting and financial reporting processes, financial statements, internal controls over financial reporting, audit processes and financial results of the Company’s operations. As set forth in the written charter of the Audit Committee, management of the Company is responsible for the preparation and fair presentation of FIS’ financial statements and for maintaining effective internal control. Management is also responsible for assessing and maintaining the effectiveness of internal control over the financial reporting process and adopting procedures that are reasonably designed to assure compliance with accounting standards and applicable laws and regulations.</w:t>
      </w:r>
    </w:p>
    <w:p>
      <w:pPr>
        <w:spacing w:after="0" w:line="120" w:lineRule="exact"/>
        <w:rPr>
          <w:sz w:val="20"/>
          <w:szCs w:val="20"/>
          <w:color w:val="auto"/>
        </w:rPr>
      </w:pPr>
    </w:p>
    <w:p>
      <w:pPr>
        <w:ind w:left="140" w:right="199"/>
        <w:spacing w:after="0" w:line="277" w:lineRule="auto"/>
        <w:rPr>
          <w:sz w:val="20"/>
          <w:szCs w:val="20"/>
          <w:color w:val="auto"/>
        </w:rPr>
      </w:pPr>
      <w:r>
        <w:rPr>
          <w:rFonts w:ascii="Arial" w:cs="Arial" w:eastAsia="Arial" w:hAnsi="Arial"/>
          <w:sz w:val="16"/>
          <w:szCs w:val="16"/>
          <w:color w:val="auto"/>
        </w:rPr>
        <w:t>KPMG, the Company’s independent registered public accounting firm, is responsible for auditing FIS’ annual financial statements and expressing an opinion as to whether the statements are fairly stated in all material respects in conformity with U.S. generally accepted accounting principles and performs its responsibilities in accordance with the standards of the Public Company Accounting Oversight Board (“PCAOB”). KPMG is also responsible for expressing an opinion as to whether the Company maintained, in all material respects, effective internal control over financial reporting based on criteria established in Internal Control – Integrated Framework (2013) issued by the Committee of Sponsoring Organizations of the Treadway Commission. In performing our oversight function, the Audit Committee reviewed and discussed with management and KPMG the audited financial statements of FIS as of and for the year ended December 31, 2025. Management and KPMG reported to us that the Company’s consolidated financial statements present fairly, in all material respects, the consolidated financial position and results of operations and cash flows of FIS and its subsidiaries in conformity with U.S. generally accepted accounting principles. The Committee has also discussed with KPMG the matters required to be discussed under the applicable requirements of the PCAOB and the Securities and Exchange Commission.</w:t>
      </w:r>
    </w:p>
    <w:p>
      <w:pPr>
        <w:spacing w:after="0" w:line="142" w:lineRule="exact"/>
        <w:rPr>
          <w:sz w:val="20"/>
          <w:szCs w:val="20"/>
          <w:color w:val="auto"/>
        </w:rPr>
      </w:pPr>
    </w:p>
    <w:p>
      <w:pPr>
        <w:ind w:left="140" w:right="199"/>
        <w:spacing w:after="0" w:line="289" w:lineRule="auto"/>
        <w:rPr>
          <w:sz w:val="20"/>
          <w:szCs w:val="20"/>
          <w:color w:val="auto"/>
        </w:rPr>
      </w:pPr>
      <w:r>
        <w:rPr>
          <w:rFonts w:ascii="Arial" w:cs="Arial" w:eastAsia="Arial" w:hAnsi="Arial"/>
          <w:sz w:val="16"/>
          <w:szCs w:val="16"/>
          <w:color w:val="auto"/>
        </w:rPr>
        <w:t>We have received and reviewed the written disclosures and the letter from KPMG required by applicable requirements of the PCAOB regarding KPMG’s communications with the Audit Committee concerning independence, and have discussed with them their independence. In addition, we have considered whether KPMG’s provision of non-audit services to the Company is compatible with their independence.</w:t>
      </w:r>
    </w:p>
    <w:p>
      <w:pPr>
        <w:spacing w:after="0" w:line="113" w:lineRule="exact"/>
        <w:rPr>
          <w:sz w:val="20"/>
          <w:szCs w:val="20"/>
          <w:color w:val="auto"/>
        </w:rPr>
      </w:pPr>
    </w:p>
    <w:p>
      <w:pPr>
        <w:ind w:left="140" w:right="159"/>
        <w:spacing w:after="0" w:line="301" w:lineRule="auto"/>
        <w:rPr>
          <w:sz w:val="20"/>
          <w:szCs w:val="20"/>
          <w:color w:val="auto"/>
        </w:rPr>
      </w:pPr>
      <w:r>
        <w:rPr>
          <w:rFonts w:ascii="Arial" w:cs="Arial" w:eastAsia="Arial" w:hAnsi="Arial"/>
          <w:sz w:val="16"/>
          <w:szCs w:val="16"/>
          <w:color w:val="auto"/>
        </w:rPr>
        <w:t>Finally, we discussed with FIS’ internal auditors and KPMG the overall scope and plans for their respective audits. We met with KPMG during each Audit Committee meeting. Our discussions with them included the results of their examinations, their evaluations of FIS’ internal controls and the overall quality of FIS’ financial reporting.</w:t>
      </w:r>
    </w:p>
    <w:p>
      <w:pPr>
        <w:spacing w:after="0" w:line="104" w:lineRule="exact"/>
        <w:rPr>
          <w:sz w:val="20"/>
          <w:szCs w:val="20"/>
          <w:color w:val="auto"/>
        </w:rPr>
      </w:pPr>
    </w:p>
    <w:p>
      <w:pPr>
        <w:ind w:left="140" w:right="419"/>
        <w:spacing w:after="0" w:line="321" w:lineRule="auto"/>
        <w:rPr>
          <w:sz w:val="20"/>
          <w:szCs w:val="20"/>
          <w:color w:val="auto"/>
        </w:rPr>
      </w:pPr>
      <w:r>
        <w:rPr>
          <w:rFonts w:ascii="Arial" w:cs="Arial" w:eastAsia="Arial" w:hAnsi="Arial"/>
          <w:sz w:val="16"/>
          <w:szCs w:val="16"/>
          <w:color w:val="auto"/>
        </w:rPr>
        <w:t>Management was present during the regular quarterly discussions with KPMG. In addition, the Audit Committee meets regularly with KPMG in executive session.</w:t>
      </w:r>
    </w:p>
    <w:p>
      <w:pPr>
        <w:spacing w:after="0" w:line="88" w:lineRule="exact"/>
        <w:rPr>
          <w:sz w:val="20"/>
          <w:szCs w:val="20"/>
          <w:color w:val="auto"/>
        </w:rPr>
      </w:pPr>
    </w:p>
    <w:p>
      <w:pPr>
        <w:ind w:left="140" w:right="179"/>
        <w:spacing w:after="0" w:line="289"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and the Board approved, that the audited financial statements referred to above be included in FIS’ Annual Report on Form 10-K for the year ended December 31, 2025, and that KPMG be appointed the independent registered public accounting firm for FIS for 2026.</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Audit Committee</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Nicole M. Anasenes (Chair)</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Anil Chakravarthy</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Kourtney K. Gibson</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Lisa A. Hook</w:t>
      </w:r>
    </w:p>
    <w:p>
      <w:pPr>
        <w:sectPr>
          <w:pgSz w:w="11900" w:h="16838" w:orient="portrait"/>
          <w:cols w:equalWidth="0" w:num="1">
            <w:col w:w="9019"/>
          </w:cols>
          <w:pgMar w:left="1440" w:top="11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91</w:t>
      </w:r>
    </w:p>
    <w:p>
      <w:pPr>
        <w:sectPr>
          <w:pgSz w:w="11900" w:h="16838" w:orient="portrait"/>
          <w:cols w:equalWidth="0" w:num="1">
            <w:col w:w="9019"/>
          </w:cols>
          <w:pgMar w:left="1440" w:top="1176" w:right="1440" w:bottom="1440" w:gutter="0" w:footer="0" w:header="0"/>
          <w:type w:val="continuous"/>
        </w:sectPr>
      </w:pPr>
    </w:p>
    <w:bookmarkStart w:id="94" w:name="page95"/>
    <w:bookmarkEnd w:id="94"/>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140" w:right="1019"/>
        <w:spacing w:after="0" w:line="268" w:lineRule="auto"/>
        <w:rPr>
          <w:sz w:val="20"/>
          <w:szCs w:val="20"/>
          <w:color w:val="auto"/>
        </w:rPr>
      </w:pPr>
      <w:r>
        <w:rPr>
          <w:rFonts w:ascii="Arial" w:cs="Arial" w:eastAsia="Arial" w:hAnsi="Arial"/>
          <w:sz w:val="54"/>
          <w:szCs w:val="54"/>
          <w:color w:val="431C5B"/>
        </w:rPr>
        <w:t>Security Ownership of Certain Beneficial Owners, Directors and Executive Officers</w:t>
      </w:r>
    </w:p>
    <w:p>
      <w:pPr>
        <w:spacing w:after="0" w:line="190" w:lineRule="exact"/>
        <w:rPr>
          <w:sz w:val="20"/>
          <w:szCs w:val="20"/>
          <w:color w:val="auto"/>
        </w:rPr>
      </w:pPr>
    </w:p>
    <w:p>
      <w:pPr>
        <w:ind w:left="140" w:right="139"/>
        <w:spacing w:after="0" w:line="282" w:lineRule="auto"/>
        <w:rPr>
          <w:sz w:val="20"/>
          <w:szCs w:val="20"/>
          <w:color w:val="auto"/>
        </w:rPr>
      </w:pPr>
      <w:r>
        <w:rPr>
          <w:rFonts w:ascii="Arial" w:cs="Arial" w:eastAsia="Arial" w:hAnsi="Arial"/>
          <w:sz w:val="16"/>
          <w:szCs w:val="16"/>
          <w:color w:val="auto"/>
        </w:rPr>
        <w:t>The number of our common shares beneficially owned by each individual or group is based upon information in documents filed by such person with the SEC, other publicly available information or information available to us. Unless otherwise indicated, each of the shareholders has sole voting and investment power with respect to the shares of common stock beneficially owned by that shareholder. The number of shares beneficially owned by each shareholder is determined under rules issued by the SEC.</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Security Ownership of Certain Beneficial Owners</w:t>
      </w:r>
    </w:p>
    <w:p>
      <w:pPr>
        <w:spacing w:after="0" w:line="107" w:lineRule="exact"/>
        <w:rPr>
          <w:sz w:val="20"/>
          <w:szCs w:val="20"/>
          <w:color w:val="auto"/>
        </w:rPr>
      </w:pPr>
    </w:p>
    <w:p>
      <w:pPr>
        <w:ind w:left="140" w:right="179"/>
        <w:spacing w:after="0" w:line="292" w:lineRule="auto"/>
        <w:rPr>
          <w:sz w:val="20"/>
          <w:szCs w:val="20"/>
          <w:color w:val="auto"/>
        </w:rPr>
      </w:pPr>
      <w:r>
        <w:rPr>
          <w:rFonts w:ascii="Arial" w:cs="Arial" w:eastAsia="Arial" w:hAnsi="Arial"/>
          <w:sz w:val="16"/>
          <w:szCs w:val="16"/>
          <w:color w:val="auto"/>
        </w:rPr>
        <w:t>The following table sets forth information regarding beneficial ownership of our common stock by each shareholder who is known by the Company to beneficially own 5% or more of our common stock. The information reported is as of April 13, 2026, except as otherwise indicated in the footnotes to the table.</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3040" w:type="dxa"/>
            <w:vAlign w:val="bottom"/>
          </w:tcPr>
          <w:p>
            <w:pPr>
              <w:jc w:val="right"/>
              <w:ind w:right="62"/>
              <w:spacing w:after="0"/>
              <w:rPr>
                <w:sz w:val="20"/>
                <w:szCs w:val="20"/>
                <w:color w:val="auto"/>
              </w:rPr>
            </w:pPr>
            <w:r>
              <w:rPr>
                <w:rFonts w:ascii="Arial" w:cs="Arial" w:eastAsia="Arial" w:hAnsi="Arial"/>
                <w:sz w:val="14"/>
                <w:szCs w:val="14"/>
                <w:b w:val="1"/>
                <w:bCs w:val="1"/>
                <w:color w:val="431C5B"/>
              </w:rPr>
              <w:t>Number of shares</w:t>
            </w:r>
          </w:p>
        </w:tc>
        <w:tc>
          <w:tcPr>
            <w:tcW w:w="1280" w:type="dxa"/>
            <w:vAlign w:val="bottom"/>
          </w:tcPr>
          <w:p>
            <w:pPr>
              <w:spacing w:after="0"/>
              <w:rPr>
                <w:sz w:val="15"/>
                <w:szCs w:val="15"/>
                <w:color w:val="auto"/>
              </w:rPr>
            </w:pPr>
          </w:p>
        </w:tc>
      </w:tr>
      <w:tr>
        <w:trPr>
          <w:trHeight w:val="171"/>
        </w:trPr>
        <w:tc>
          <w:tcPr>
            <w:tcW w:w="444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3040" w:type="dxa"/>
            <w:vAlign w:val="bottom"/>
            <w:tcBorders>
              <w:bottom w:val="single" w:sz="8" w:color="431C5B"/>
            </w:tcBorders>
          </w:tcPr>
          <w:p>
            <w:pPr>
              <w:jc w:val="right"/>
              <w:ind w:right="62"/>
              <w:spacing w:after="0"/>
              <w:rPr>
                <w:sz w:val="20"/>
                <w:szCs w:val="20"/>
                <w:color w:val="auto"/>
              </w:rPr>
            </w:pPr>
            <w:r>
              <w:rPr>
                <w:rFonts w:ascii="Arial" w:cs="Arial" w:eastAsia="Arial" w:hAnsi="Arial"/>
                <w:sz w:val="14"/>
                <w:szCs w:val="14"/>
                <w:b w:val="1"/>
                <w:bCs w:val="1"/>
                <w:color w:val="431C5B"/>
              </w:rPr>
              <w:t>beneficially owned</w:t>
            </w:r>
          </w:p>
        </w:tc>
        <w:tc>
          <w:tcPr>
            <w:tcW w:w="128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Percent of class</w:t>
            </w:r>
          </w:p>
        </w:tc>
      </w:tr>
      <w:tr>
        <w:trPr>
          <w:trHeight w:val="209"/>
        </w:trPr>
        <w:tc>
          <w:tcPr>
            <w:tcW w:w="4440" w:type="dxa"/>
            <w:vAlign w:val="bottom"/>
            <w:tcBorders>
              <w:bottom w:val="single" w:sz="8" w:color="E6E6E6"/>
            </w:tcBorders>
            <w:shd w:val="clear" w:color="auto" w:fill="EDFAEC"/>
          </w:tcPr>
          <w:p>
            <w:pPr>
              <w:ind w:left="80"/>
              <w:spacing w:after="0" w:line="210" w:lineRule="exact"/>
              <w:rPr>
                <w:sz w:val="20"/>
                <w:szCs w:val="20"/>
                <w:color w:val="auto"/>
              </w:rPr>
            </w:pPr>
            <w:r>
              <w:rPr>
                <w:rFonts w:ascii="Arial" w:cs="Arial" w:eastAsia="Arial" w:hAnsi="Arial"/>
                <w:sz w:val="16"/>
                <w:szCs w:val="16"/>
                <w:b w:val="1"/>
                <w:bCs w:val="1"/>
                <w:color w:val="auto"/>
              </w:rPr>
              <w:t>The Vanguard Group</w:t>
            </w:r>
            <w:r>
              <w:rPr>
                <w:rFonts w:ascii="Arial" w:cs="Arial" w:eastAsia="Arial" w:hAnsi="Arial"/>
                <w:sz w:val="21"/>
                <w:szCs w:val="21"/>
                <w:b w:val="1"/>
                <w:bCs w:val="1"/>
                <w:color w:val="auto"/>
                <w:vertAlign w:val="superscript"/>
              </w:rPr>
              <w:t>(1)</w:t>
            </w:r>
          </w:p>
        </w:tc>
        <w:tc>
          <w:tcPr>
            <w:tcW w:w="3040" w:type="dxa"/>
            <w:vAlign w:val="bottom"/>
            <w:tcBorders>
              <w:bottom w:val="single" w:sz="8" w:color="E6E6E6"/>
            </w:tcBorders>
            <w:shd w:val="clear" w:color="auto" w:fill="EDFAEC"/>
          </w:tcPr>
          <w:p>
            <w:pPr>
              <w:ind w:left="2080"/>
              <w:spacing w:after="0"/>
              <w:rPr>
                <w:sz w:val="20"/>
                <w:szCs w:val="20"/>
                <w:color w:val="auto"/>
              </w:rPr>
            </w:pPr>
            <w:r>
              <w:rPr>
                <w:rFonts w:ascii="Arial" w:cs="Arial" w:eastAsia="Arial" w:hAnsi="Arial"/>
                <w:sz w:val="16"/>
                <w:szCs w:val="16"/>
                <w:color w:val="auto"/>
              </w:rPr>
              <w:t>69,379,555</w:t>
            </w:r>
          </w:p>
        </w:tc>
        <w:tc>
          <w:tcPr>
            <w:tcW w:w="12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13.4%</w:t>
            </w:r>
          </w:p>
        </w:tc>
      </w:tr>
      <w:tr>
        <w:trPr>
          <w:trHeight w:val="210"/>
        </w:trPr>
        <w:tc>
          <w:tcPr>
            <w:tcW w:w="4440" w:type="dxa"/>
            <w:vAlign w:val="bottom"/>
            <w:tcBorders>
              <w:bottom w:val="single" w:sz="8" w:color="E6E6E6"/>
            </w:tcBorders>
          </w:tcPr>
          <w:p>
            <w:pPr>
              <w:ind w:left="80"/>
              <w:spacing w:after="0" w:line="210" w:lineRule="exact"/>
              <w:rPr>
                <w:sz w:val="20"/>
                <w:szCs w:val="20"/>
                <w:color w:val="auto"/>
              </w:rPr>
            </w:pPr>
            <w:r>
              <w:rPr>
                <w:rFonts w:ascii="Arial" w:cs="Arial" w:eastAsia="Arial" w:hAnsi="Arial"/>
                <w:sz w:val="16"/>
                <w:szCs w:val="16"/>
                <w:b w:val="1"/>
                <w:bCs w:val="1"/>
                <w:color w:val="auto"/>
              </w:rPr>
              <w:t>BlackRock, Inc.</w:t>
            </w:r>
            <w:r>
              <w:rPr>
                <w:rFonts w:ascii="Arial" w:cs="Arial" w:eastAsia="Arial" w:hAnsi="Arial"/>
                <w:sz w:val="21"/>
                <w:szCs w:val="21"/>
                <w:b w:val="1"/>
                <w:bCs w:val="1"/>
                <w:color w:val="auto"/>
                <w:vertAlign w:val="superscript"/>
              </w:rPr>
              <w:t>(2)</w:t>
            </w:r>
          </w:p>
        </w:tc>
        <w:tc>
          <w:tcPr>
            <w:tcW w:w="3040" w:type="dxa"/>
            <w:vAlign w:val="bottom"/>
            <w:tcBorders>
              <w:bottom w:val="single" w:sz="8" w:color="E6E6E6"/>
            </w:tcBorders>
          </w:tcPr>
          <w:p>
            <w:pPr>
              <w:ind w:left="2080"/>
              <w:spacing w:after="0"/>
              <w:rPr>
                <w:sz w:val="20"/>
                <w:szCs w:val="20"/>
                <w:color w:val="auto"/>
              </w:rPr>
            </w:pPr>
            <w:r>
              <w:rPr>
                <w:rFonts w:ascii="Arial" w:cs="Arial" w:eastAsia="Arial" w:hAnsi="Arial"/>
                <w:sz w:val="16"/>
                <w:szCs w:val="16"/>
                <w:color w:val="auto"/>
              </w:rPr>
              <w:t>38,938,367</w:t>
            </w:r>
          </w:p>
        </w:tc>
        <w:tc>
          <w:tcPr>
            <w:tcW w:w="12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7.5%</w:t>
            </w:r>
          </w:p>
        </w:tc>
      </w:tr>
      <w:tr>
        <w:trPr>
          <w:trHeight w:val="210"/>
        </w:trPr>
        <w:tc>
          <w:tcPr>
            <w:tcW w:w="4440" w:type="dxa"/>
            <w:vAlign w:val="bottom"/>
            <w:tcBorders>
              <w:bottom w:val="single" w:sz="8" w:color="E6E6E6"/>
            </w:tcBorders>
            <w:shd w:val="clear" w:color="auto" w:fill="EDFAEC"/>
          </w:tcPr>
          <w:p>
            <w:pPr>
              <w:ind w:left="80"/>
              <w:spacing w:after="0" w:line="210" w:lineRule="exact"/>
              <w:rPr>
                <w:sz w:val="20"/>
                <w:szCs w:val="20"/>
                <w:color w:val="auto"/>
              </w:rPr>
            </w:pPr>
            <w:r>
              <w:rPr>
                <w:rFonts w:ascii="Arial" w:cs="Arial" w:eastAsia="Arial" w:hAnsi="Arial"/>
                <w:sz w:val="16"/>
                <w:szCs w:val="16"/>
                <w:b w:val="1"/>
                <w:bCs w:val="1"/>
                <w:color w:val="auto"/>
              </w:rPr>
              <w:t>Dodge &amp; Cox</w:t>
            </w:r>
            <w:r>
              <w:rPr>
                <w:rFonts w:ascii="Arial" w:cs="Arial" w:eastAsia="Arial" w:hAnsi="Arial"/>
                <w:sz w:val="21"/>
                <w:szCs w:val="21"/>
                <w:b w:val="1"/>
                <w:bCs w:val="1"/>
                <w:color w:val="auto"/>
                <w:vertAlign w:val="superscript"/>
              </w:rPr>
              <w:t>(3)</w:t>
            </w:r>
          </w:p>
        </w:tc>
        <w:tc>
          <w:tcPr>
            <w:tcW w:w="3040" w:type="dxa"/>
            <w:vAlign w:val="bottom"/>
            <w:tcBorders>
              <w:bottom w:val="single" w:sz="8" w:color="E6E6E6"/>
            </w:tcBorders>
            <w:shd w:val="clear" w:color="auto" w:fill="EDFAEC"/>
          </w:tcPr>
          <w:p>
            <w:pPr>
              <w:ind w:left="2080"/>
              <w:spacing w:after="0"/>
              <w:rPr>
                <w:sz w:val="20"/>
                <w:szCs w:val="20"/>
                <w:color w:val="auto"/>
              </w:rPr>
            </w:pPr>
            <w:r>
              <w:rPr>
                <w:rFonts w:ascii="Arial" w:cs="Arial" w:eastAsia="Arial" w:hAnsi="Arial"/>
                <w:sz w:val="16"/>
                <w:szCs w:val="16"/>
                <w:color w:val="auto"/>
              </w:rPr>
              <w:t>49,113,297</w:t>
            </w:r>
          </w:p>
        </w:tc>
        <w:tc>
          <w:tcPr>
            <w:tcW w:w="12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9.5%</w:t>
            </w:r>
          </w:p>
        </w:tc>
      </w:tr>
      <w:tr>
        <w:trPr>
          <w:trHeight w:val="210"/>
        </w:trPr>
        <w:tc>
          <w:tcPr>
            <w:tcW w:w="4440" w:type="dxa"/>
            <w:vAlign w:val="bottom"/>
            <w:tcBorders>
              <w:bottom w:val="single" w:sz="8" w:color="E6E6E6"/>
            </w:tcBorders>
          </w:tcPr>
          <w:p>
            <w:pPr>
              <w:ind w:left="80"/>
              <w:spacing w:after="0" w:line="210" w:lineRule="exact"/>
              <w:rPr>
                <w:sz w:val="20"/>
                <w:szCs w:val="20"/>
                <w:color w:val="auto"/>
              </w:rPr>
            </w:pPr>
            <w:r>
              <w:rPr>
                <w:rFonts w:ascii="Arial" w:cs="Arial" w:eastAsia="Arial" w:hAnsi="Arial"/>
                <w:sz w:val="16"/>
                <w:szCs w:val="16"/>
                <w:b w:val="1"/>
                <w:bCs w:val="1"/>
                <w:color w:val="auto"/>
              </w:rPr>
              <w:t>JPMorgan Chase &amp; Co</w:t>
            </w:r>
            <w:r>
              <w:rPr>
                <w:rFonts w:ascii="Arial" w:cs="Arial" w:eastAsia="Arial" w:hAnsi="Arial"/>
                <w:sz w:val="21"/>
                <w:szCs w:val="21"/>
                <w:b w:val="1"/>
                <w:bCs w:val="1"/>
                <w:color w:val="auto"/>
                <w:vertAlign w:val="superscript"/>
              </w:rPr>
              <w:t>(4)</w:t>
            </w:r>
          </w:p>
        </w:tc>
        <w:tc>
          <w:tcPr>
            <w:tcW w:w="3040" w:type="dxa"/>
            <w:vAlign w:val="bottom"/>
            <w:tcBorders>
              <w:bottom w:val="single" w:sz="8" w:color="E6E6E6"/>
            </w:tcBorders>
          </w:tcPr>
          <w:p>
            <w:pPr>
              <w:ind w:left="2080"/>
              <w:spacing w:after="0"/>
              <w:rPr>
                <w:sz w:val="20"/>
                <w:szCs w:val="20"/>
                <w:color w:val="auto"/>
              </w:rPr>
            </w:pPr>
            <w:r>
              <w:rPr>
                <w:rFonts w:ascii="Arial" w:cs="Arial" w:eastAsia="Arial" w:hAnsi="Arial"/>
                <w:sz w:val="16"/>
                <w:szCs w:val="16"/>
                <w:color w:val="auto"/>
              </w:rPr>
              <w:t>44,621,625</w:t>
            </w:r>
          </w:p>
        </w:tc>
        <w:tc>
          <w:tcPr>
            <w:tcW w:w="12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4440" w:type="dxa"/>
            <w:vAlign w:val="bottom"/>
            <w:tcBorders>
              <w:bottom w:val="single" w:sz="8" w:color="431C5B"/>
            </w:tcBorders>
            <w:shd w:val="clear" w:color="auto" w:fill="EDFAEC"/>
          </w:tcPr>
          <w:p>
            <w:pPr>
              <w:ind w:left="80"/>
              <w:spacing w:after="0" w:line="210" w:lineRule="exact"/>
              <w:rPr>
                <w:sz w:val="20"/>
                <w:szCs w:val="20"/>
                <w:color w:val="auto"/>
              </w:rPr>
            </w:pPr>
            <w:r>
              <w:rPr>
                <w:rFonts w:ascii="Arial" w:cs="Arial" w:eastAsia="Arial" w:hAnsi="Arial"/>
                <w:sz w:val="16"/>
                <w:szCs w:val="16"/>
                <w:b w:val="1"/>
                <w:bCs w:val="1"/>
                <w:color w:val="auto"/>
              </w:rPr>
              <w:t>Capital Research Global Investors</w:t>
            </w:r>
            <w:r>
              <w:rPr>
                <w:rFonts w:ascii="Arial" w:cs="Arial" w:eastAsia="Arial" w:hAnsi="Arial"/>
                <w:sz w:val="21"/>
                <w:szCs w:val="21"/>
                <w:b w:val="1"/>
                <w:bCs w:val="1"/>
                <w:color w:val="auto"/>
                <w:vertAlign w:val="superscript"/>
              </w:rPr>
              <w:t>(5)</w:t>
            </w:r>
          </w:p>
        </w:tc>
        <w:tc>
          <w:tcPr>
            <w:tcW w:w="3040" w:type="dxa"/>
            <w:vAlign w:val="bottom"/>
            <w:tcBorders>
              <w:bottom w:val="single" w:sz="8" w:color="431C5B"/>
            </w:tcBorders>
            <w:shd w:val="clear" w:color="auto" w:fill="EDFAEC"/>
          </w:tcPr>
          <w:p>
            <w:pPr>
              <w:ind w:left="2080"/>
              <w:spacing w:after="0"/>
              <w:rPr>
                <w:sz w:val="20"/>
                <w:szCs w:val="20"/>
                <w:color w:val="auto"/>
              </w:rPr>
            </w:pPr>
            <w:r>
              <w:rPr>
                <w:rFonts w:ascii="Arial" w:cs="Arial" w:eastAsia="Arial" w:hAnsi="Arial"/>
                <w:sz w:val="16"/>
                <w:szCs w:val="16"/>
                <w:color w:val="auto"/>
              </w:rPr>
              <w:t>28,350,357</w:t>
            </w:r>
          </w:p>
        </w:tc>
        <w:tc>
          <w:tcPr>
            <w:tcW w:w="128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6"/>
                <w:szCs w:val="16"/>
                <w:color w:val="auto"/>
              </w:rPr>
              <w:t>5.5%</w:t>
            </w:r>
          </w:p>
        </w:tc>
      </w:tr>
    </w:tbl>
    <w:p>
      <w:pPr>
        <w:spacing w:after="0" w:line="144" w:lineRule="exact"/>
        <w:rPr>
          <w:sz w:val="20"/>
          <w:szCs w:val="20"/>
          <w:color w:val="auto"/>
        </w:rPr>
      </w:pPr>
    </w:p>
    <w:p>
      <w:pPr>
        <w:ind w:left="380" w:right="259" w:hanging="250"/>
        <w:spacing w:after="0" w:line="257" w:lineRule="auto"/>
        <w:tabs>
          <w:tab w:leader="none" w:pos="380" w:val="left"/>
        </w:tabs>
        <w:numPr>
          <w:ilvl w:val="0"/>
          <w:numId w:val="129"/>
        </w:numPr>
        <w:rPr>
          <w:rFonts w:ascii="Arial" w:cs="Arial" w:eastAsia="Arial" w:hAnsi="Arial"/>
          <w:sz w:val="16"/>
          <w:szCs w:val="16"/>
          <w:color w:val="auto"/>
          <w:vertAlign w:val="superscript"/>
        </w:rPr>
      </w:pPr>
      <w:r>
        <w:rPr>
          <w:rFonts w:ascii="Arial" w:cs="Arial" w:eastAsia="Arial" w:hAnsi="Arial"/>
          <w:sz w:val="13"/>
          <w:szCs w:val="13"/>
          <w:color w:val="auto"/>
        </w:rPr>
        <w:t>According to a Schedule 13G/A filed on February 12, 2024, The Vanguard Group, Inc., a Pennsylvania corporation,100 Vanguard Blvd., Malvern, PA 19355, has sole power to vote 0 shares, sole power to dispose or direct disposition of 66,718,548 shares, shared power to vote 768,581 shares, and shared power to dispose of 2,661,007 shares. The Vanguard Group subsequently reported that due to an internal realignment it no longer has, or is deemed to have, beneficial ownership over Company securities beneficially owned by various Vanguard subsidiaries and/or business divisions. The Vanguard Group also reported that certain subsidiaries or business divisions that formerly had, or were deemed to have, beneficial ownership with The Vanguard Group, will report beneficial ownership separately (on a disaggregated basis).</w:t>
      </w:r>
    </w:p>
    <w:p>
      <w:pPr>
        <w:spacing w:after="0" w:line="42" w:lineRule="exact"/>
        <w:rPr>
          <w:rFonts w:ascii="Arial" w:cs="Arial" w:eastAsia="Arial" w:hAnsi="Arial"/>
          <w:sz w:val="16"/>
          <w:szCs w:val="16"/>
          <w:color w:val="auto"/>
          <w:vertAlign w:val="superscript"/>
        </w:rPr>
      </w:pPr>
    </w:p>
    <w:p>
      <w:pPr>
        <w:ind w:left="380" w:right="139" w:hanging="250"/>
        <w:spacing w:after="0" w:line="236" w:lineRule="auto"/>
        <w:tabs>
          <w:tab w:leader="none" w:pos="380" w:val="left"/>
        </w:tabs>
        <w:numPr>
          <w:ilvl w:val="0"/>
          <w:numId w:val="129"/>
        </w:numPr>
        <w:rPr>
          <w:rFonts w:ascii="Arial" w:cs="Arial" w:eastAsia="Arial" w:hAnsi="Arial"/>
          <w:sz w:val="16"/>
          <w:szCs w:val="16"/>
          <w:color w:val="auto"/>
          <w:vertAlign w:val="superscript"/>
        </w:rPr>
      </w:pPr>
      <w:r>
        <w:rPr>
          <w:rFonts w:ascii="Arial" w:cs="Arial" w:eastAsia="Arial" w:hAnsi="Arial"/>
          <w:sz w:val="13"/>
          <w:szCs w:val="13"/>
          <w:color w:val="auto"/>
        </w:rPr>
        <w:t>According to a Schedule 13G/A filed on April 17, 2025, BlackRock, Inc., a Delaware corporation, 50 Hudson Yards, New York, New York 10001, has sole power to vote 35,066,792 shares and sole power to dispose or direct the disposition of 38,938,367 shares.</w:t>
      </w:r>
    </w:p>
    <w:p>
      <w:pPr>
        <w:spacing w:after="0" w:line="50" w:lineRule="exact"/>
        <w:rPr>
          <w:rFonts w:ascii="Arial" w:cs="Arial" w:eastAsia="Arial" w:hAnsi="Arial"/>
          <w:sz w:val="16"/>
          <w:szCs w:val="16"/>
          <w:color w:val="auto"/>
          <w:vertAlign w:val="superscript"/>
        </w:rPr>
      </w:pPr>
    </w:p>
    <w:p>
      <w:pPr>
        <w:ind w:left="380" w:right="459" w:hanging="250"/>
        <w:spacing w:after="0" w:line="236" w:lineRule="auto"/>
        <w:tabs>
          <w:tab w:leader="none" w:pos="380" w:val="left"/>
        </w:tabs>
        <w:numPr>
          <w:ilvl w:val="0"/>
          <w:numId w:val="129"/>
        </w:numPr>
        <w:rPr>
          <w:rFonts w:ascii="Arial" w:cs="Arial" w:eastAsia="Arial" w:hAnsi="Arial"/>
          <w:sz w:val="16"/>
          <w:szCs w:val="16"/>
          <w:color w:val="auto"/>
          <w:vertAlign w:val="superscript"/>
        </w:rPr>
      </w:pPr>
      <w:r>
        <w:rPr>
          <w:rFonts w:ascii="Arial" w:cs="Arial" w:eastAsia="Arial" w:hAnsi="Arial"/>
          <w:sz w:val="13"/>
          <w:szCs w:val="13"/>
          <w:color w:val="auto"/>
        </w:rPr>
        <w:t>According to a Schedule 13G/A filed on February 13, 2026, Dodge &amp; Cox, a California corporation, 555 California Street, 40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Floor, San Francisco, CA 94104, has sole power to vote 46,607,151 shares and sole power to dispose or direct disposition of 49,113,297 shares.</w:t>
      </w:r>
    </w:p>
    <w:p>
      <w:pPr>
        <w:spacing w:after="0" w:line="63" w:lineRule="exact"/>
        <w:rPr>
          <w:rFonts w:ascii="Arial" w:cs="Arial" w:eastAsia="Arial" w:hAnsi="Arial"/>
          <w:sz w:val="16"/>
          <w:szCs w:val="16"/>
          <w:color w:val="auto"/>
          <w:vertAlign w:val="superscript"/>
        </w:rPr>
      </w:pPr>
    </w:p>
    <w:p>
      <w:pPr>
        <w:ind w:left="380" w:right="139" w:hanging="250"/>
        <w:spacing w:after="0" w:line="245" w:lineRule="auto"/>
        <w:tabs>
          <w:tab w:leader="none" w:pos="380" w:val="left"/>
        </w:tabs>
        <w:numPr>
          <w:ilvl w:val="0"/>
          <w:numId w:val="129"/>
        </w:numPr>
        <w:rPr>
          <w:rFonts w:ascii="Arial" w:cs="Arial" w:eastAsia="Arial" w:hAnsi="Arial"/>
          <w:sz w:val="16"/>
          <w:szCs w:val="16"/>
          <w:color w:val="auto"/>
          <w:vertAlign w:val="superscript"/>
        </w:rPr>
      </w:pPr>
      <w:r>
        <w:rPr>
          <w:rFonts w:ascii="Arial" w:cs="Arial" w:eastAsia="Arial" w:hAnsi="Arial"/>
          <w:sz w:val="13"/>
          <w:szCs w:val="13"/>
          <w:color w:val="auto"/>
        </w:rPr>
        <w:t>According to a Schedule 13G/A filed on October 17, 2025, JPMorgan Chase &amp; Co., a Delaware corporation, 383 Madison Avenue, New York, NY 10179, has sole power to vote 39,872,176 shares, sole power to dispose or direct disposition of 44,398,697 shares, shared power to vote 551,495 shares and shared power to dispose of 222,928 shares.</w:t>
      </w:r>
    </w:p>
    <w:p>
      <w:pPr>
        <w:spacing w:after="0" w:line="46" w:lineRule="exact"/>
        <w:rPr>
          <w:rFonts w:ascii="Arial" w:cs="Arial" w:eastAsia="Arial" w:hAnsi="Arial"/>
          <w:sz w:val="16"/>
          <w:szCs w:val="16"/>
          <w:color w:val="auto"/>
          <w:vertAlign w:val="superscript"/>
        </w:rPr>
      </w:pPr>
    </w:p>
    <w:p>
      <w:pPr>
        <w:ind w:left="380" w:right="179" w:hanging="250"/>
        <w:spacing w:after="0" w:line="236" w:lineRule="auto"/>
        <w:tabs>
          <w:tab w:leader="none" w:pos="380" w:val="left"/>
        </w:tabs>
        <w:numPr>
          <w:ilvl w:val="0"/>
          <w:numId w:val="129"/>
        </w:numPr>
        <w:rPr>
          <w:rFonts w:ascii="Arial" w:cs="Arial" w:eastAsia="Arial" w:hAnsi="Arial"/>
          <w:sz w:val="16"/>
          <w:szCs w:val="16"/>
          <w:color w:val="auto"/>
          <w:vertAlign w:val="superscript"/>
        </w:rPr>
      </w:pPr>
      <w:r>
        <w:rPr>
          <w:rFonts w:ascii="Arial" w:cs="Arial" w:eastAsia="Arial" w:hAnsi="Arial"/>
          <w:sz w:val="13"/>
          <w:szCs w:val="13"/>
          <w:color w:val="auto"/>
        </w:rPr>
        <w:t>According to a Schedule 13G filed on November 12, 2024, Capital Research Global Investors, a Delaware corporation, 333 South Hope Street, 55th Fl., Los Angeles, CA 90071, has sole power to vote 28,347,305 shares, sole power to dispose or direct disposition of 28,350,357.</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20" w:hanging="429"/>
        <w:spacing w:after="0"/>
        <w:tabs>
          <w:tab w:leader="none" w:pos="620" w:val="left"/>
        </w:tabs>
        <w:numPr>
          <w:ilvl w:val="0"/>
          <w:numId w:val="130"/>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1440" w:right="1440" w:bottom="1440" w:gutter="0" w:footer="0" w:header="0"/>
          <w:type w:val="continuous"/>
        </w:sectPr>
      </w:pPr>
    </w:p>
    <w:bookmarkStart w:id="95" w:name="page96"/>
    <w:bookmarkEnd w:id="95"/>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Security Ownership of Certain Beneficial Owners, Directors and Executive Officers</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Security Ownership of Management and Directors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sets forth information regarding beneficial ownership of our common stock as of April 13, 2026 by:</w:t>
      </w:r>
    </w:p>
    <w:p>
      <w:pPr>
        <w:spacing w:after="0" w:line="181" w:lineRule="exact"/>
        <w:rPr>
          <w:sz w:val="20"/>
          <w:szCs w:val="20"/>
          <w:color w:val="auto"/>
        </w:rPr>
      </w:pPr>
    </w:p>
    <w:p>
      <w:pPr>
        <w:ind w:left="320" w:hanging="190"/>
        <w:spacing w:after="0"/>
        <w:tabs>
          <w:tab w:leader="none" w:pos="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each director and nominee for director;</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each of the NEOs as defined in Item 402(a)(3) of Regulation S-K promulgated by the SEC; and</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all of our current executive officers and directors as a group.</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information is not necessarily indicative of beneficial ownership for any other purpose.</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431C5B"/>
              </w:rPr>
              <w:t>Percent of</w:t>
            </w:r>
          </w:p>
        </w:tc>
      </w:tr>
      <w:tr>
        <w:trPr>
          <w:trHeight w:val="160"/>
        </w:trPr>
        <w:tc>
          <w:tcPr>
            <w:tcW w:w="3780" w:type="dxa"/>
            <w:vAlign w:val="bottom"/>
          </w:tcPr>
          <w:p>
            <w:pPr>
              <w:spacing w:after="0"/>
              <w:rPr>
                <w:sz w:val="13"/>
                <w:szCs w:val="13"/>
                <w:color w:val="auto"/>
              </w:rPr>
            </w:pPr>
          </w:p>
        </w:tc>
        <w:tc>
          <w:tcPr>
            <w:tcW w:w="2080" w:type="dxa"/>
            <w:vAlign w:val="bottom"/>
          </w:tcPr>
          <w:p>
            <w:pPr>
              <w:jc w:val="right"/>
              <w:ind w:right="40"/>
              <w:spacing w:after="0" w:line="159" w:lineRule="exact"/>
              <w:rPr>
                <w:sz w:val="20"/>
                <w:szCs w:val="20"/>
                <w:color w:val="auto"/>
              </w:rPr>
            </w:pPr>
            <w:r>
              <w:rPr>
                <w:rFonts w:ascii="Arial" w:cs="Arial" w:eastAsia="Arial" w:hAnsi="Arial"/>
                <w:sz w:val="14"/>
                <w:szCs w:val="14"/>
                <w:b w:val="1"/>
                <w:bCs w:val="1"/>
                <w:color w:val="431C5B"/>
              </w:rPr>
              <w:t>Number of</w:t>
            </w:r>
          </w:p>
        </w:tc>
        <w:tc>
          <w:tcPr>
            <w:tcW w:w="940" w:type="dxa"/>
            <w:vAlign w:val="bottom"/>
          </w:tcPr>
          <w:p>
            <w:pPr>
              <w:jc w:val="right"/>
              <w:spacing w:after="0" w:line="159" w:lineRule="exact"/>
              <w:rPr>
                <w:sz w:val="20"/>
                <w:szCs w:val="20"/>
                <w:color w:val="auto"/>
              </w:rPr>
            </w:pPr>
            <w:r>
              <w:rPr>
                <w:rFonts w:ascii="Arial" w:cs="Arial" w:eastAsia="Arial" w:hAnsi="Arial"/>
                <w:sz w:val="14"/>
                <w:szCs w:val="14"/>
                <w:b w:val="1"/>
                <w:bCs w:val="1"/>
                <w:color w:val="431C5B"/>
              </w:rPr>
              <w:t>Number of</w:t>
            </w:r>
          </w:p>
        </w:tc>
        <w:tc>
          <w:tcPr>
            <w:tcW w:w="96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b w:val="1"/>
                <w:bCs w:val="1"/>
                <w:color w:val="431C5B"/>
              </w:rPr>
              <w:t>total</w:t>
            </w:r>
          </w:p>
        </w:tc>
      </w:tr>
      <w:tr>
        <w:trPr>
          <w:trHeight w:val="187"/>
        </w:trPr>
        <w:tc>
          <w:tcPr>
            <w:tcW w:w="378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Name</w:t>
            </w:r>
          </w:p>
        </w:tc>
        <w:tc>
          <w:tcPr>
            <w:tcW w:w="2080" w:type="dxa"/>
            <w:vAlign w:val="bottom"/>
            <w:tcBorders>
              <w:bottom w:val="single" w:sz="8" w:color="431C5B"/>
            </w:tcBorders>
          </w:tcPr>
          <w:p>
            <w:pPr>
              <w:jc w:val="right"/>
              <w:ind w:right="40"/>
              <w:spacing w:after="0" w:line="188" w:lineRule="exact"/>
              <w:rPr>
                <w:sz w:val="20"/>
                <w:szCs w:val="20"/>
                <w:color w:val="auto"/>
              </w:rPr>
            </w:pPr>
            <w:r>
              <w:rPr>
                <w:rFonts w:ascii="Arial" w:cs="Arial" w:eastAsia="Arial" w:hAnsi="Arial"/>
                <w:sz w:val="14"/>
                <w:szCs w:val="14"/>
                <w:b w:val="1"/>
                <w:bCs w:val="1"/>
                <w:color w:val="431C5B"/>
              </w:rPr>
              <w:t>shares owned</w:t>
            </w:r>
            <w:r>
              <w:rPr>
                <w:rFonts w:ascii="Arial" w:cs="Arial" w:eastAsia="Arial" w:hAnsi="Arial"/>
                <w:sz w:val="18"/>
                <w:szCs w:val="18"/>
                <w:b w:val="1"/>
                <w:bCs w:val="1"/>
                <w:color w:val="431C5B"/>
                <w:vertAlign w:val="superscript"/>
              </w:rPr>
              <w:t>(1)</w:t>
            </w:r>
          </w:p>
        </w:tc>
        <w:tc>
          <w:tcPr>
            <w:tcW w:w="940" w:type="dxa"/>
            <w:vAlign w:val="bottom"/>
            <w:tcBorders>
              <w:bottom w:val="single" w:sz="8" w:color="431C5B"/>
            </w:tcBorders>
          </w:tcPr>
          <w:p>
            <w:pPr>
              <w:jc w:val="right"/>
              <w:spacing w:after="0" w:line="188" w:lineRule="exact"/>
              <w:rPr>
                <w:sz w:val="20"/>
                <w:szCs w:val="20"/>
                <w:color w:val="auto"/>
              </w:rPr>
            </w:pPr>
            <w:r>
              <w:rPr>
                <w:rFonts w:ascii="Arial" w:cs="Arial" w:eastAsia="Arial" w:hAnsi="Arial"/>
                <w:sz w:val="14"/>
                <w:szCs w:val="14"/>
                <w:b w:val="1"/>
                <w:bCs w:val="1"/>
                <w:color w:val="431C5B"/>
              </w:rPr>
              <w:t>options</w:t>
            </w:r>
            <w:r>
              <w:rPr>
                <w:rFonts w:ascii="Arial" w:cs="Arial" w:eastAsia="Arial" w:hAnsi="Arial"/>
                <w:sz w:val="18"/>
                <w:szCs w:val="18"/>
                <w:b w:val="1"/>
                <w:bCs w:val="1"/>
                <w:color w:val="431C5B"/>
                <w:vertAlign w:val="superscript"/>
              </w:rPr>
              <w:t>(2)</w:t>
            </w:r>
          </w:p>
        </w:tc>
        <w:tc>
          <w:tcPr>
            <w:tcW w:w="960" w:type="dxa"/>
            <w:vAlign w:val="bottom"/>
            <w:tcBorders>
              <w:bottom w:val="single" w:sz="8" w:color="431C5B"/>
            </w:tcBorders>
          </w:tcPr>
          <w:p>
            <w:pPr>
              <w:jc w:val="right"/>
              <w:ind w:right="40"/>
              <w:spacing w:after="0"/>
              <w:rPr>
                <w:sz w:val="20"/>
                <w:szCs w:val="20"/>
                <w:color w:val="auto"/>
              </w:rPr>
            </w:pPr>
            <w:r>
              <w:rPr>
                <w:rFonts w:ascii="Arial" w:cs="Arial" w:eastAsia="Arial" w:hAnsi="Arial"/>
                <w:sz w:val="14"/>
                <w:szCs w:val="14"/>
                <w:b w:val="1"/>
                <w:bCs w:val="1"/>
                <w:color w:val="431C5B"/>
              </w:rPr>
              <w:t>Total</w:t>
            </w:r>
          </w:p>
        </w:tc>
        <w:tc>
          <w:tcPr>
            <w:tcW w:w="100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outstanding</w:t>
            </w:r>
          </w:p>
        </w:tc>
      </w:tr>
      <w:tr>
        <w:trPr>
          <w:trHeight w:val="209"/>
        </w:trPr>
        <w:tc>
          <w:tcPr>
            <w:tcW w:w="378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Nicole M. Anasenes</w:t>
            </w:r>
          </w:p>
        </w:tc>
        <w:tc>
          <w:tcPr>
            <w:tcW w:w="208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4,310</w:t>
            </w:r>
          </w:p>
        </w:tc>
        <w:tc>
          <w:tcPr>
            <w:tcW w:w="940" w:type="dxa"/>
            <w:vAlign w:val="bottom"/>
            <w:tcBorders>
              <w:bottom w:val="single" w:sz="8" w:color="E6E6E6"/>
            </w:tcBorders>
            <w:shd w:val="clear" w:color="auto" w:fill="EEFAE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4,310</w:t>
            </w:r>
          </w:p>
        </w:tc>
        <w:tc>
          <w:tcPr>
            <w:tcW w:w="10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780" w:type="dxa"/>
            <w:vAlign w:val="bottom"/>
            <w:tcBorders>
              <w:bottom w:val="single" w:sz="8" w:color="E6E6E6"/>
            </w:tcBorders>
          </w:tcPr>
          <w:p>
            <w:pPr>
              <w:ind w:left="80"/>
              <w:spacing w:after="0" w:line="210" w:lineRule="exact"/>
              <w:rPr>
                <w:sz w:val="20"/>
                <w:szCs w:val="20"/>
                <w:color w:val="auto"/>
              </w:rPr>
            </w:pPr>
            <w:r>
              <w:rPr>
                <w:rFonts w:ascii="Arial" w:cs="Arial" w:eastAsia="Arial" w:hAnsi="Arial"/>
                <w:sz w:val="16"/>
                <w:szCs w:val="16"/>
                <w:b w:val="1"/>
                <w:bCs w:val="1"/>
                <w:color w:val="431C5B"/>
              </w:rPr>
              <w:t>Mark D. Benjamin</w:t>
            </w:r>
            <w:r>
              <w:rPr>
                <w:rFonts w:ascii="Arial" w:cs="Arial" w:eastAsia="Arial" w:hAnsi="Arial"/>
                <w:sz w:val="21"/>
                <w:szCs w:val="21"/>
                <w:b w:val="1"/>
                <w:bCs w:val="1"/>
                <w:color w:val="431C5B"/>
                <w:vertAlign w:val="superscript"/>
              </w:rPr>
              <w:t>(3)</w:t>
            </w:r>
          </w:p>
        </w:tc>
        <w:tc>
          <w:tcPr>
            <w:tcW w:w="208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10,347</w:t>
            </w:r>
          </w:p>
        </w:tc>
        <w:tc>
          <w:tcPr>
            <w:tcW w:w="940" w:type="dxa"/>
            <w:vAlign w:val="bottom"/>
            <w:tcBorders>
              <w:bottom w:val="single" w:sz="8" w:color="E6E6E6"/>
            </w:tcBorders>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10,347</w:t>
            </w:r>
          </w:p>
        </w:tc>
        <w:tc>
          <w:tcPr>
            <w:tcW w:w="10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780" w:type="dxa"/>
            <w:vAlign w:val="bottom"/>
            <w:tcBorders>
              <w:bottom w:val="single" w:sz="8" w:color="E6E6E6"/>
            </w:tcBorders>
            <w:shd w:val="clear" w:color="auto" w:fill="EEFAEC"/>
          </w:tcPr>
          <w:p>
            <w:pPr>
              <w:ind w:left="80"/>
              <w:spacing w:after="0" w:line="210" w:lineRule="exact"/>
              <w:rPr>
                <w:sz w:val="20"/>
                <w:szCs w:val="20"/>
                <w:color w:val="auto"/>
              </w:rPr>
            </w:pPr>
            <w:r>
              <w:rPr>
                <w:rFonts w:ascii="Arial" w:cs="Arial" w:eastAsia="Arial" w:hAnsi="Arial"/>
                <w:sz w:val="16"/>
                <w:szCs w:val="16"/>
                <w:b w:val="1"/>
                <w:bCs w:val="1"/>
                <w:color w:val="431C5B"/>
              </w:rPr>
              <w:t>Firdaus Bhathena</w:t>
            </w:r>
            <w:r>
              <w:rPr>
                <w:rFonts w:ascii="Arial" w:cs="Arial" w:eastAsia="Arial" w:hAnsi="Arial"/>
                <w:sz w:val="21"/>
                <w:szCs w:val="21"/>
                <w:b w:val="1"/>
                <w:bCs w:val="1"/>
                <w:color w:val="431C5B"/>
                <w:vertAlign w:val="superscript"/>
              </w:rPr>
              <w:t>(4)</w:t>
            </w:r>
          </w:p>
        </w:tc>
        <w:tc>
          <w:tcPr>
            <w:tcW w:w="208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32,349</w:t>
            </w:r>
          </w:p>
        </w:tc>
        <w:tc>
          <w:tcPr>
            <w:tcW w:w="940" w:type="dxa"/>
            <w:vAlign w:val="bottom"/>
            <w:tcBorders>
              <w:bottom w:val="single" w:sz="8" w:color="E6E6E6"/>
            </w:tcBorders>
            <w:shd w:val="clear" w:color="auto" w:fill="EEFAEC"/>
          </w:tcPr>
          <w:p>
            <w:pPr>
              <w:jc w:val="right"/>
              <w:ind w:right="20"/>
              <w:spacing w:after="0"/>
              <w:rPr>
                <w:sz w:val="20"/>
                <w:szCs w:val="20"/>
                <w:color w:val="auto"/>
              </w:rPr>
            </w:pPr>
            <w:r>
              <w:rPr>
                <w:rFonts w:ascii="Arial" w:cs="Arial" w:eastAsia="Arial" w:hAnsi="Arial"/>
                <w:sz w:val="16"/>
                <w:szCs w:val="16"/>
                <w:color w:val="auto"/>
              </w:rPr>
              <w:t>89,906</w:t>
            </w:r>
          </w:p>
        </w:tc>
        <w:tc>
          <w:tcPr>
            <w:tcW w:w="96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121,955</w:t>
            </w:r>
          </w:p>
        </w:tc>
        <w:tc>
          <w:tcPr>
            <w:tcW w:w="10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78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Anil Chakravarthy</w:t>
            </w:r>
          </w:p>
        </w:tc>
        <w:tc>
          <w:tcPr>
            <w:tcW w:w="208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1,697</w:t>
            </w:r>
          </w:p>
        </w:tc>
        <w:tc>
          <w:tcPr>
            <w:tcW w:w="940" w:type="dxa"/>
            <w:vAlign w:val="bottom"/>
            <w:tcBorders>
              <w:bottom w:val="single" w:sz="8" w:color="E6E6E6"/>
            </w:tcBorders>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1,697</w:t>
            </w:r>
          </w:p>
        </w:tc>
        <w:tc>
          <w:tcPr>
            <w:tcW w:w="10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78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Stephanie L. Ferris</w:t>
            </w:r>
          </w:p>
        </w:tc>
        <w:tc>
          <w:tcPr>
            <w:tcW w:w="208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284,058</w:t>
            </w:r>
          </w:p>
        </w:tc>
        <w:tc>
          <w:tcPr>
            <w:tcW w:w="940" w:type="dxa"/>
            <w:vAlign w:val="bottom"/>
            <w:tcBorders>
              <w:bottom w:val="single" w:sz="8" w:color="E6E6E6"/>
            </w:tcBorders>
            <w:shd w:val="clear" w:color="auto" w:fill="EEFAEC"/>
          </w:tcPr>
          <w:p>
            <w:pPr>
              <w:jc w:val="right"/>
              <w:ind w:right="20"/>
              <w:spacing w:after="0"/>
              <w:rPr>
                <w:sz w:val="20"/>
                <w:szCs w:val="20"/>
                <w:color w:val="auto"/>
              </w:rPr>
            </w:pPr>
            <w:r>
              <w:rPr>
                <w:rFonts w:ascii="Arial" w:cs="Arial" w:eastAsia="Arial" w:hAnsi="Arial"/>
                <w:sz w:val="16"/>
                <w:szCs w:val="16"/>
                <w:color w:val="auto"/>
              </w:rPr>
              <w:t>645,650</w:t>
            </w:r>
          </w:p>
        </w:tc>
        <w:tc>
          <w:tcPr>
            <w:tcW w:w="96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929,708</w:t>
            </w:r>
          </w:p>
        </w:tc>
        <w:tc>
          <w:tcPr>
            <w:tcW w:w="10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78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Kourtney K. Gibson</w:t>
            </w:r>
          </w:p>
        </w:tc>
        <w:tc>
          <w:tcPr>
            <w:tcW w:w="208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4,103</w:t>
            </w:r>
          </w:p>
        </w:tc>
        <w:tc>
          <w:tcPr>
            <w:tcW w:w="940" w:type="dxa"/>
            <w:vAlign w:val="bottom"/>
            <w:tcBorders>
              <w:bottom w:val="single" w:sz="8" w:color="E6E6E6"/>
            </w:tcBorders>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4,103</w:t>
            </w:r>
          </w:p>
        </w:tc>
        <w:tc>
          <w:tcPr>
            <w:tcW w:w="10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78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Jeffrey A. Goldstein</w:t>
            </w:r>
          </w:p>
        </w:tc>
        <w:tc>
          <w:tcPr>
            <w:tcW w:w="208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33,788</w:t>
            </w:r>
          </w:p>
        </w:tc>
        <w:tc>
          <w:tcPr>
            <w:tcW w:w="940" w:type="dxa"/>
            <w:vAlign w:val="bottom"/>
            <w:tcBorders>
              <w:bottom w:val="single" w:sz="8" w:color="E6E6E6"/>
            </w:tcBorders>
            <w:shd w:val="clear" w:color="auto" w:fill="EEFAE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33,788</w:t>
            </w:r>
          </w:p>
        </w:tc>
        <w:tc>
          <w:tcPr>
            <w:tcW w:w="10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78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Lisa A. Hook</w:t>
            </w:r>
          </w:p>
        </w:tc>
        <w:tc>
          <w:tcPr>
            <w:tcW w:w="208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22,379</w:t>
            </w:r>
          </w:p>
        </w:tc>
        <w:tc>
          <w:tcPr>
            <w:tcW w:w="940" w:type="dxa"/>
            <w:vAlign w:val="bottom"/>
            <w:tcBorders>
              <w:bottom w:val="single" w:sz="8" w:color="E6E6E6"/>
            </w:tcBorders>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22,379</w:t>
            </w:r>
          </w:p>
        </w:tc>
        <w:tc>
          <w:tcPr>
            <w:tcW w:w="10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78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James Kehoe</w:t>
            </w:r>
          </w:p>
        </w:tc>
        <w:tc>
          <w:tcPr>
            <w:tcW w:w="208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133,002</w:t>
            </w:r>
          </w:p>
        </w:tc>
        <w:tc>
          <w:tcPr>
            <w:tcW w:w="940" w:type="dxa"/>
            <w:vAlign w:val="bottom"/>
            <w:tcBorders>
              <w:bottom w:val="single" w:sz="8" w:color="E6E6E6"/>
            </w:tcBorders>
            <w:shd w:val="clear" w:color="auto" w:fill="EEFAE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133,002</w:t>
            </w:r>
          </w:p>
        </w:tc>
        <w:tc>
          <w:tcPr>
            <w:tcW w:w="10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780" w:type="dxa"/>
            <w:vAlign w:val="bottom"/>
            <w:tcBorders>
              <w:bottom w:val="single" w:sz="8" w:color="E6E6E6"/>
            </w:tcBorders>
          </w:tcPr>
          <w:p>
            <w:pPr>
              <w:ind w:left="80"/>
              <w:spacing w:after="0" w:line="210" w:lineRule="exact"/>
              <w:rPr>
                <w:sz w:val="20"/>
                <w:szCs w:val="20"/>
                <w:color w:val="auto"/>
              </w:rPr>
            </w:pPr>
            <w:r>
              <w:rPr>
                <w:rFonts w:ascii="Arial" w:cs="Arial" w:eastAsia="Arial" w:hAnsi="Arial"/>
                <w:sz w:val="16"/>
                <w:szCs w:val="16"/>
                <w:b w:val="1"/>
                <w:bCs w:val="1"/>
                <w:color w:val="431C5B"/>
              </w:rPr>
              <w:t>Kenneth T. Lamneck</w:t>
            </w:r>
            <w:r>
              <w:rPr>
                <w:rFonts w:ascii="Arial" w:cs="Arial" w:eastAsia="Arial" w:hAnsi="Arial"/>
                <w:sz w:val="21"/>
                <w:szCs w:val="21"/>
                <w:b w:val="1"/>
                <w:bCs w:val="1"/>
                <w:color w:val="431C5B"/>
                <w:vertAlign w:val="superscript"/>
              </w:rPr>
              <w:t>(5)</w:t>
            </w:r>
          </w:p>
        </w:tc>
        <w:tc>
          <w:tcPr>
            <w:tcW w:w="208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14,266</w:t>
            </w:r>
          </w:p>
        </w:tc>
        <w:tc>
          <w:tcPr>
            <w:tcW w:w="940" w:type="dxa"/>
            <w:vAlign w:val="bottom"/>
            <w:tcBorders>
              <w:bottom w:val="single" w:sz="8" w:color="E6E6E6"/>
            </w:tcBorders>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14,266</w:t>
            </w:r>
          </w:p>
        </w:tc>
        <w:tc>
          <w:tcPr>
            <w:tcW w:w="10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78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Gary L. Lauer</w:t>
            </w:r>
          </w:p>
        </w:tc>
        <w:tc>
          <w:tcPr>
            <w:tcW w:w="208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28,997</w:t>
            </w:r>
          </w:p>
        </w:tc>
        <w:tc>
          <w:tcPr>
            <w:tcW w:w="940" w:type="dxa"/>
            <w:vAlign w:val="bottom"/>
            <w:tcBorders>
              <w:bottom w:val="single" w:sz="8" w:color="E6E6E6"/>
            </w:tcBorders>
            <w:shd w:val="clear" w:color="auto" w:fill="EEFAE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28,997</w:t>
            </w:r>
          </w:p>
        </w:tc>
        <w:tc>
          <w:tcPr>
            <w:tcW w:w="10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780" w:type="dxa"/>
            <w:vAlign w:val="bottom"/>
            <w:tcBorders>
              <w:bottom w:val="single" w:sz="8" w:color="E6E6E6"/>
            </w:tcBorders>
          </w:tcPr>
          <w:p>
            <w:pPr>
              <w:ind w:left="80"/>
              <w:spacing w:after="0" w:line="210" w:lineRule="exact"/>
              <w:rPr>
                <w:sz w:val="20"/>
                <w:szCs w:val="20"/>
                <w:color w:val="auto"/>
              </w:rPr>
            </w:pPr>
            <w:r>
              <w:rPr>
                <w:rFonts w:ascii="Arial" w:cs="Arial" w:eastAsia="Arial" w:hAnsi="Arial"/>
                <w:sz w:val="16"/>
                <w:szCs w:val="16"/>
                <w:b w:val="1"/>
                <w:bCs w:val="1"/>
                <w:color w:val="431C5B"/>
              </w:rPr>
              <w:t>James B. Stallings Jr.</w:t>
            </w:r>
            <w:r>
              <w:rPr>
                <w:rFonts w:ascii="Arial" w:cs="Arial" w:eastAsia="Arial" w:hAnsi="Arial"/>
                <w:sz w:val="21"/>
                <w:szCs w:val="21"/>
                <w:b w:val="1"/>
                <w:bCs w:val="1"/>
                <w:color w:val="431C5B"/>
                <w:vertAlign w:val="superscript"/>
              </w:rPr>
              <w:t>(6)</w:t>
            </w:r>
          </w:p>
        </w:tc>
        <w:tc>
          <w:tcPr>
            <w:tcW w:w="208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27,063</w:t>
            </w:r>
          </w:p>
        </w:tc>
        <w:tc>
          <w:tcPr>
            <w:tcW w:w="940" w:type="dxa"/>
            <w:vAlign w:val="bottom"/>
            <w:tcBorders>
              <w:bottom w:val="single" w:sz="8" w:color="E6E6E6"/>
            </w:tcBorders>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27,063</w:t>
            </w:r>
          </w:p>
        </w:tc>
        <w:tc>
          <w:tcPr>
            <w:tcW w:w="10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78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b w:val="1"/>
                <w:bCs w:val="1"/>
                <w:color w:val="431C5B"/>
              </w:rPr>
              <w:t>Robert Toohey</w:t>
            </w:r>
          </w:p>
        </w:tc>
        <w:tc>
          <w:tcPr>
            <w:tcW w:w="208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16,676</w:t>
            </w:r>
          </w:p>
        </w:tc>
        <w:tc>
          <w:tcPr>
            <w:tcW w:w="940" w:type="dxa"/>
            <w:vAlign w:val="bottom"/>
            <w:tcBorders>
              <w:bottom w:val="single" w:sz="8" w:color="E6E6E6"/>
            </w:tcBorders>
            <w:shd w:val="clear" w:color="auto" w:fill="EEFAE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shd w:val="clear" w:color="auto" w:fill="EEFAEC"/>
          </w:tcPr>
          <w:p>
            <w:pPr>
              <w:jc w:val="right"/>
              <w:ind w:right="60"/>
              <w:spacing w:after="0"/>
              <w:rPr>
                <w:sz w:val="20"/>
                <w:szCs w:val="20"/>
                <w:color w:val="auto"/>
              </w:rPr>
            </w:pPr>
            <w:r>
              <w:rPr>
                <w:rFonts w:ascii="Arial" w:cs="Arial" w:eastAsia="Arial" w:hAnsi="Arial"/>
                <w:sz w:val="16"/>
                <w:szCs w:val="16"/>
                <w:color w:val="auto"/>
              </w:rPr>
              <w:t>16,676</w:t>
            </w:r>
          </w:p>
        </w:tc>
        <w:tc>
          <w:tcPr>
            <w:tcW w:w="10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780" w:type="dxa"/>
            <w:vAlign w:val="bottom"/>
            <w:tcBorders>
              <w:bottom w:val="single" w:sz="8" w:color="E6E6E6"/>
            </w:tcBorders>
          </w:tcPr>
          <w:p>
            <w:pPr>
              <w:ind w:left="80"/>
              <w:spacing w:after="0"/>
              <w:rPr>
                <w:sz w:val="20"/>
                <w:szCs w:val="20"/>
                <w:color w:val="auto"/>
              </w:rPr>
            </w:pPr>
            <w:r>
              <w:rPr>
                <w:rFonts w:ascii="Arial" w:cs="Arial" w:eastAsia="Arial" w:hAnsi="Arial"/>
                <w:sz w:val="16"/>
                <w:szCs w:val="16"/>
                <w:b w:val="1"/>
                <w:bCs w:val="1"/>
                <w:color w:val="431C5B"/>
              </w:rPr>
              <w:t>Caroline Tsai</w:t>
            </w:r>
          </w:p>
        </w:tc>
        <w:tc>
          <w:tcPr>
            <w:tcW w:w="208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66,142</w:t>
            </w:r>
          </w:p>
        </w:tc>
        <w:tc>
          <w:tcPr>
            <w:tcW w:w="940" w:type="dxa"/>
            <w:vAlign w:val="bottom"/>
            <w:tcBorders>
              <w:bottom w:val="single" w:sz="8" w:color="E6E6E6"/>
            </w:tcBorders>
          </w:tcPr>
          <w:p>
            <w:pPr>
              <w:jc w:val="right"/>
              <w:ind w:right="20"/>
              <w:spacing w:after="0"/>
              <w:rPr>
                <w:sz w:val="20"/>
                <w:szCs w:val="20"/>
                <w:color w:val="auto"/>
              </w:rPr>
            </w:pPr>
            <w:r>
              <w:rPr>
                <w:rFonts w:ascii="Arial" w:cs="Arial" w:eastAsia="Arial" w:hAnsi="Arial"/>
                <w:sz w:val="16"/>
                <w:szCs w:val="16"/>
                <w:color w:val="auto"/>
              </w:rPr>
              <w:t>178,106</w:t>
            </w:r>
          </w:p>
        </w:tc>
        <w:tc>
          <w:tcPr>
            <w:tcW w:w="960" w:type="dxa"/>
            <w:vAlign w:val="bottom"/>
            <w:tcBorders>
              <w:bottom w:val="single" w:sz="8" w:color="E6E6E6"/>
            </w:tcBorders>
          </w:tcPr>
          <w:p>
            <w:pPr>
              <w:jc w:val="right"/>
              <w:ind w:right="60"/>
              <w:spacing w:after="0"/>
              <w:rPr>
                <w:sz w:val="20"/>
                <w:szCs w:val="20"/>
                <w:color w:val="auto"/>
              </w:rPr>
            </w:pPr>
            <w:r>
              <w:rPr>
                <w:rFonts w:ascii="Arial" w:cs="Arial" w:eastAsia="Arial" w:hAnsi="Arial"/>
                <w:sz w:val="16"/>
                <w:szCs w:val="16"/>
                <w:color w:val="auto"/>
              </w:rPr>
              <w:t>244,248</w:t>
            </w:r>
          </w:p>
        </w:tc>
        <w:tc>
          <w:tcPr>
            <w:tcW w:w="100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780" w:type="dxa"/>
            <w:vAlign w:val="bottom"/>
            <w:tcBorders>
              <w:bottom w:val="single" w:sz="8" w:color="431C5B"/>
            </w:tcBorders>
            <w:shd w:val="clear" w:color="auto" w:fill="EEFAEC"/>
          </w:tcPr>
          <w:p>
            <w:pPr>
              <w:ind w:left="80"/>
              <w:spacing w:after="0" w:line="210" w:lineRule="exact"/>
              <w:rPr>
                <w:sz w:val="20"/>
                <w:szCs w:val="20"/>
                <w:color w:val="auto"/>
              </w:rPr>
            </w:pPr>
            <w:r>
              <w:rPr>
                <w:rFonts w:ascii="Arial" w:cs="Arial" w:eastAsia="Arial" w:hAnsi="Arial"/>
                <w:sz w:val="16"/>
                <w:szCs w:val="16"/>
                <w:b w:val="1"/>
                <w:bCs w:val="1"/>
                <w:color w:val="431C5B"/>
              </w:rPr>
              <w:t>Directors and Officers (15 persons)</w:t>
            </w:r>
            <w:r>
              <w:rPr>
                <w:rFonts w:ascii="Arial" w:cs="Arial" w:eastAsia="Arial" w:hAnsi="Arial"/>
                <w:sz w:val="21"/>
                <w:szCs w:val="21"/>
                <w:b w:val="1"/>
                <w:bCs w:val="1"/>
                <w:color w:val="431C5B"/>
                <w:vertAlign w:val="superscript"/>
              </w:rPr>
              <w:t>(7)</w:t>
            </w:r>
          </w:p>
        </w:tc>
        <w:tc>
          <w:tcPr>
            <w:tcW w:w="2080" w:type="dxa"/>
            <w:vAlign w:val="bottom"/>
            <w:tcBorders>
              <w:bottom w:val="single" w:sz="8" w:color="431C5B"/>
            </w:tcBorders>
            <w:shd w:val="clear" w:color="auto" w:fill="EEFAEC"/>
          </w:tcPr>
          <w:p>
            <w:pPr>
              <w:jc w:val="right"/>
              <w:ind w:right="60"/>
              <w:spacing w:after="0"/>
              <w:rPr>
                <w:sz w:val="20"/>
                <w:szCs w:val="20"/>
                <w:color w:val="auto"/>
              </w:rPr>
            </w:pPr>
            <w:r>
              <w:rPr>
                <w:rFonts w:ascii="Arial" w:cs="Arial" w:eastAsia="Arial" w:hAnsi="Arial"/>
                <w:sz w:val="16"/>
                <w:szCs w:val="16"/>
                <w:color w:val="auto"/>
              </w:rPr>
              <w:t>603,092</w:t>
            </w:r>
          </w:p>
        </w:tc>
        <w:tc>
          <w:tcPr>
            <w:tcW w:w="940" w:type="dxa"/>
            <w:vAlign w:val="bottom"/>
            <w:tcBorders>
              <w:bottom w:val="single" w:sz="8" w:color="431C5B"/>
            </w:tcBorders>
            <w:shd w:val="clear" w:color="auto" w:fill="EEFAEC"/>
          </w:tcPr>
          <w:p>
            <w:pPr>
              <w:jc w:val="right"/>
              <w:ind w:right="20"/>
              <w:spacing w:after="0"/>
              <w:rPr>
                <w:sz w:val="20"/>
                <w:szCs w:val="20"/>
                <w:color w:val="auto"/>
              </w:rPr>
            </w:pPr>
            <w:r>
              <w:rPr>
                <w:rFonts w:ascii="Arial" w:cs="Arial" w:eastAsia="Arial" w:hAnsi="Arial"/>
                <w:sz w:val="16"/>
                <w:szCs w:val="16"/>
                <w:color w:val="auto"/>
              </w:rPr>
              <w:t>823,756</w:t>
            </w:r>
          </w:p>
        </w:tc>
        <w:tc>
          <w:tcPr>
            <w:tcW w:w="960" w:type="dxa"/>
            <w:vAlign w:val="bottom"/>
            <w:tcBorders>
              <w:bottom w:val="single" w:sz="8" w:color="431C5B"/>
            </w:tcBorders>
            <w:shd w:val="clear" w:color="auto" w:fill="EEFAEC"/>
          </w:tcPr>
          <w:p>
            <w:pPr>
              <w:jc w:val="right"/>
              <w:ind w:right="60"/>
              <w:spacing w:after="0"/>
              <w:rPr>
                <w:sz w:val="20"/>
                <w:szCs w:val="20"/>
                <w:color w:val="auto"/>
              </w:rPr>
            </w:pPr>
            <w:r>
              <w:rPr>
                <w:rFonts w:ascii="Arial" w:cs="Arial" w:eastAsia="Arial" w:hAnsi="Arial"/>
                <w:sz w:val="16"/>
                <w:szCs w:val="16"/>
                <w:color w:val="auto"/>
              </w:rPr>
              <w:t>1,426,848</w:t>
            </w:r>
          </w:p>
        </w:tc>
        <w:tc>
          <w:tcPr>
            <w:tcW w:w="100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w:t>
            </w:r>
          </w:p>
        </w:tc>
      </w:tr>
    </w:tbl>
    <w:p>
      <w:pPr>
        <w:spacing w:after="0" w:line="144" w:lineRule="exact"/>
        <w:rPr>
          <w:sz w:val="20"/>
          <w:szCs w:val="20"/>
          <w:color w:val="auto"/>
        </w:rPr>
      </w:pPr>
    </w:p>
    <w:p>
      <w:pPr>
        <w:ind w:left="380" w:hanging="250"/>
        <w:spacing w:after="0"/>
        <w:tabs>
          <w:tab w:leader="none" w:pos="38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Represents less than 1% of our common stock.</w:t>
      </w:r>
    </w:p>
    <w:p>
      <w:pPr>
        <w:spacing w:after="0" w:line="80" w:lineRule="exact"/>
        <w:rPr>
          <w:sz w:val="20"/>
          <w:szCs w:val="20"/>
          <w:color w:val="auto"/>
        </w:rPr>
      </w:pPr>
    </w:p>
    <w:p>
      <w:pPr>
        <w:ind w:left="380" w:right="259" w:hanging="250"/>
        <w:spacing w:after="0" w:line="245" w:lineRule="auto"/>
        <w:tabs>
          <w:tab w:leader="none" w:pos="380"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Includes time-based restricted stock units (RSUs) granted in 2025 that vest within 60 days after April 13, 2026 and vested RSUs for which settlement has been deferred under the director deferral plan for each director as follows: 2,652 shares for Ms. Anasenes,19,259 shares for Mr. Goldstein, 14,482 shares for Ms. Hook, and 14,482 shares for Mr. Lauer.</w:t>
      </w:r>
    </w:p>
    <w:p>
      <w:pPr>
        <w:spacing w:after="0" w:line="40" w:lineRule="exact"/>
        <w:rPr>
          <w:rFonts w:ascii="Arial" w:cs="Arial" w:eastAsia="Arial" w:hAnsi="Arial"/>
          <w:sz w:val="16"/>
          <w:szCs w:val="16"/>
          <w:color w:val="auto"/>
          <w:vertAlign w:val="superscript"/>
        </w:rPr>
      </w:pPr>
    </w:p>
    <w:p>
      <w:pPr>
        <w:ind w:left="380" w:hanging="250"/>
        <w:spacing w:after="0"/>
        <w:tabs>
          <w:tab w:leader="none" w:pos="380" w:val="left"/>
        </w:tabs>
        <w:numPr>
          <w:ilvl w:val="0"/>
          <w:numId w:val="133"/>
        </w:numPr>
        <w:rPr>
          <w:rFonts w:ascii="Arial" w:cs="Arial" w:eastAsia="Arial" w:hAnsi="Arial"/>
          <w:sz w:val="15"/>
          <w:szCs w:val="15"/>
          <w:color w:val="auto"/>
          <w:vertAlign w:val="superscript"/>
        </w:rPr>
      </w:pPr>
      <w:r>
        <w:rPr>
          <w:rFonts w:ascii="Arial" w:cs="Arial" w:eastAsia="Arial" w:hAnsi="Arial"/>
          <w:sz w:val="12"/>
          <w:szCs w:val="12"/>
          <w:color w:val="auto"/>
        </w:rPr>
        <w:t>Represents shares that are subject to stock options that are exercisable on April 13, 2026 or become exercisable within 60 days after April 13, 2026.</w:t>
      </w:r>
    </w:p>
    <w:p>
      <w:pPr>
        <w:spacing w:after="0" w:line="56" w:lineRule="exact"/>
        <w:rPr>
          <w:rFonts w:ascii="Arial" w:cs="Arial" w:eastAsia="Arial" w:hAnsi="Arial"/>
          <w:sz w:val="15"/>
          <w:szCs w:val="15"/>
          <w:color w:val="auto"/>
          <w:vertAlign w:val="superscript"/>
        </w:rPr>
      </w:pPr>
    </w:p>
    <w:p>
      <w:pPr>
        <w:ind w:left="380" w:hanging="250"/>
        <w:spacing w:after="0" w:line="207" w:lineRule="auto"/>
        <w:tabs>
          <w:tab w:leader="none" w:pos="380"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On March 30, 2026, Mr. Benjamin informed FIS that he would not be standing for re-election at the 2026 annual meeting of shareholders.</w:t>
      </w:r>
    </w:p>
    <w:p>
      <w:pPr>
        <w:spacing w:after="0" w:line="57" w:lineRule="exact"/>
        <w:rPr>
          <w:rFonts w:ascii="Arial" w:cs="Arial" w:eastAsia="Arial" w:hAnsi="Arial"/>
          <w:sz w:val="16"/>
          <w:szCs w:val="16"/>
          <w:color w:val="auto"/>
          <w:vertAlign w:val="superscript"/>
        </w:rPr>
      </w:pPr>
    </w:p>
    <w:p>
      <w:pPr>
        <w:ind w:left="380" w:right="719" w:hanging="250"/>
        <w:spacing w:after="0" w:line="231" w:lineRule="auto"/>
        <w:tabs>
          <w:tab w:leader="none" w:pos="380"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Mr. Bhathena resigned from employment at the Company effective March 20, 2026 and, as a result, forfeited his outstanding RSUs, PSUs and unvested options.</w:t>
      </w:r>
    </w:p>
    <w:p>
      <w:pPr>
        <w:spacing w:after="0" w:line="45" w:lineRule="exact"/>
        <w:rPr>
          <w:rFonts w:ascii="Arial" w:cs="Arial" w:eastAsia="Arial" w:hAnsi="Arial"/>
          <w:sz w:val="16"/>
          <w:szCs w:val="16"/>
          <w:color w:val="auto"/>
          <w:vertAlign w:val="superscript"/>
        </w:rPr>
      </w:pPr>
    </w:p>
    <w:p>
      <w:pPr>
        <w:ind w:left="380" w:hanging="250"/>
        <w:spacing w:after="0"/>
        <w:tabs>
          <w:tab w:leader="none" w:pos="380"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Included in the amount are 2,269 shares held in trust.</w:t>
      </w:r>
    </w:p>
    <w:p>
      <w:pPr>
        <w:spacing w:after="0" w:line="43" w:lineRule="exact"/>
        <w:rPr>
          <w:rFonts w:ascii="Arial" w:cs="Arial" w:eastAsia="Arial" w:hAnsi="Arial"/>
          <w:sz w:val="16"/>
          <w:szCs w:val="16"/>
          <w:color w:val="auto"/>
          <w:vertAlign w:val="superscript"/>
        </w:rPr>
      </w:pPr>
    </w:p>
    <w:p>
      <w:pPr>
        <w:ind w:left="380" w:hanging="250"/>
        <w:spacing w:after="0" w:line="225" w:lineRule="auto"/>
        <w:tabs>
          <w:tab w:leader="none" w:pos="380"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Included in the amount are 1,100 shares held in trust.</w:t>
      </w:r>
    </w:p>
    <w:p>
      <w:pPr>
        <w:spacing w:after="0" w:line="43" w:lineRule="exact"/>
        <w:rPr>
          <w:rFonts w:ascii="Arial" w:cs="Arial" w:eastAsia="Arial" w:hAnsi="Arial"/>
          <w:sz w:val="16"/>
          <w:szCs w:val="16"/>
          <w:color w:val="auto"/>
          <w:vertAlign w:val="superscript"/>
        </w:rPr>
      </w:pPr>
    </w:p>
    <w:p>
      <w:pPr>
        <w:ind w:left="380" w:hanging="250"/>
        <w:spacing w:after="0" w:line="225" w:lineRule="auto"/>
        <w:tabs>
          <w:tab w:leader="none" w:pos="380"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None of the shares held by the current Directors and Officers have been pledged.</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93</w:t>
      </w:r>
    </w:p>
    <w:p>
      <w:pPr>
        <w:sectPr>
          <w:pgSz w:w="11900" w:h="16838" w:orient="portrait"/>
          <w:cols w:equalWidth="0" w:num="1">
            <w:col w:w="9019"/>
          </w:cols>
          <w:pgMar w:left="1440" w:top="657" w:right="1440" w:bottom="1440" w:gutter="0" w:footer="0" w:header="0"/>
          <w:type w:val="continuous"/>
        </w:sectPr>
      </w:pPr>
    </w:p>
    <w:bookmarkStart w:id="96" w:name="page97"/>
    <w:bookmarkEnd w:id="96"/>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140" w:right="639"/>
        <w:spacing w:after="0" w:line="297" w:lineRule="auto"/>
        <w:rPr>
          <w:sz w:val="20"/>
          <w:szCs w:val="20"/>
          <w:color w:val="auto"/>
        </w:rPr>
      </w:pPr>
      <w:r>
        <w:rPr>
          <w:rFonts w:ascii="Arial" w:cs="Arial" w:eastAsia="Arial" w:hAnsi="Arial"/>
          <w:sz w:val="53"/>
          <w:szCs w:val="53"/>
          <w:color w:val="431C5B"/>
        </w:rPr>
        <w:t>Securities Authorized for Issuance Under Equity Compensation Plans</w:t>
      </w:r>
    </w:p>
    <w:p>
      <w:pPr>
        <w:spacing w:after="0" w:line="114" w:lineRule="exact"/>
        <w:rPr>
          <w:sz w:val="20"/>
          <w:szCs w:val="20"/>
          <w:color w:val="auto"/>
        </w:rPr>
      </w:pPr>
    </w:p>
    <w:p>
      <w:pPr>
        <w:ind w:left="140" w:right="199"/>
        <w:spacing w:after="0" w:line="321" w:lineRule="auto"/>
        <w:rPr>
          <w:sz w:val="20"/>
          <w:szCs w:val="20"/>
          <w:color w:val="auto"/>
        </w:rPr>
      </w:pPr>
      <w:r>
        <w:rPr>
          <w:rFonts w:ascii="Arial" w:cs="Arial" w:eastAsia="Arial" w:hAnsi="Arial"/>
          <w:sz w:val="16"/>
          <w:szCs w:val="16"/>
          <w:color w:val="auto"/>
        </w:rPr>
        <w:t>The following table provides information as of December 31, 2025 about our common stock that may be issued under our equity compensation plans:</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4"/>
                <w:szCs w:val="14"/>
                <w:b w:val="1"/>
                <w:bCs w:val="1"/>
                <w:color w:val="431C5B"/>
              </w:rPr>
              <w:t>Weighted-average</w:t>
            </w: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4"/>
                <w:szCs w:val="14"/>
                <w:b w:val="1"/>
                <w:bCs w:val="1"/>
                <w:color w:val="431C5B"/>
              </w:rPr>
              <w:t>exercise price of</w:t>
            </w: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2180" w:type="dxa"/>
            <w:vAlign w:val="bottom"/>
          </w:tcPr>
          <w:p>
            <w:pPr>
              <w:jc w:val="right"/>
              <w:ind w:right="244"/>
              <w:spacing w:after="0"/>
              <w:rPr>
                <w:sz w:val="20"/>
                <w:szCs w:val="20"/>
                <w:color w:val="auto"/>
              </w:rPr>
            </w:pPr>
            <w:r>
              <w:rPr>
                <w:rFonts w:ascii="Arial" w:cs="Arial" w:eastAsia="Arial" w:hAnsi="Arial"/>
                <w:sz w:val="14"/>
                <w:szCs w:val="14"/>
                <w:b w:val="1"/>
                <w:bCs w:val="1"/>
                <w:color w:val="431C5B"/>
              </w:rPr>
              <w:t>Number of securities to</w:t>
            </w:r>
          </w:p>
        </w:tc>
        <w:tc>
          <w:tcPr>
            <w:tcW w:w="1440" w:type="dxa"/>
            <w:vAlign w:val="bottom"/>
            <w:gridSpan w:val="2"/>
          </w:tcPr>
          <w:p>
            <w:pPr>
              <w:jc w:val="right"/>
              <w:ind w:right="21"/>
              <w:spacing w:after="0"/>
              <w:rPr>
                <w:sz w:val="20"/>
                <w:szCs w:val="20"/>
                <w:color w:val="auto"/>
              </w:rPr>
            </w:pPr>
            <w:r>
              <w:rPr>
                <w:rFonts w:ascii="Arial" w:cs="Arial" w:eastAsia="Arial" w:hAnsi="Arial"/>
                <w:sz w:val="14"/>
                <w:szCs w:val="14"/>
                <w:b w:val="1"/>
                <w:bCs w:val="1"/>
                <w:color w:val="431C5B"/>
              </w:rPr>
              <w:t>outstanding</w:t>
            </w:r>
          </w:p>
        </w:tc>
        <w:tc>
          <w:tcPr>
            <w:tcW w:w="2760" w:type="dxa"/>
            <w:vAlign w:val="bottom"/>
            <w:gridSpan w:val="2"/>
          </w:tcPr>
          <w:p>
            <w:pPr>
              <w:jc w:val="right"/>
              <w:spacing w:after="0"/>
              <w:rPr>
                <w:sz w:val="20"/>
                <w:szCs w:val="20"/>
                <w:color w:val="auto"/>
              </w:rPr>
            </w:pPr>
            <w:r>
              <w:rPr>
                <w:rFonts w:ascii="Arial" w:cs="Arial" w:eastAsia="Arial" w:hAnsi="Arial"/>
                <w:sz w:val="14"/>
                <w:szCs w:val="14"/>
                <w:b w:val="1"/>
                <w:bCs w:val="1"/>
                <w:color w:val="431C5B"/>
              </w:rPr>
              <w:t>Number of securities remaining</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2180" w:type="dxa"/>
            <w:vAlign w:val="bottom"/>
          </w:tcPr>
          <w:p>
            <w:pPr>
              <w:jc w:val="right"/>
              <w:ind w:right="244"/>
              <w:spacing w:after="0"/>
              <w:rPr>
                <w:sz w:val="20"/>
                <w:szCs w:val="20"/>
                <w:color w:val="auto"/>
              </w:rPr>
            </w:pPr>
            <w:r>
              <w:rPr>
                <w:rFonts w:ascii="Arial" w:cs="Arial" w:eastAsia="Arial" w:hAnsi="Arial"/>
                <w:sz w:val="14"/>
                <w:szCs w:val="14"/>
                <w:b w:val="1"/>
                <w:bCs w:val="1"/>
                <w:color w:val="431C5B"/>
              </w:rPr>
              <w:t>be issued upon exercise</w:t>
            </w:r>
          </w:p>
        </w:tc>
        <w:tc>
          <w:tcPr>
            <w:tcW w:w="1440" w:type="dxa"/>
            <w:vAlign w:val="bottom"/>
            <w:gridSpan w:val="2"/>
          </w:tcPr>
          <w:p>
            <w:pPr>
              <w:jc w:val="right"/>
              <w:ind w:right="21"/>
              <w:spacing w:after="0"/>
              <w:rPr>
                <w:sz w:val="20"/>
                <w:szCs w:val="20"/>
                <w:color w:val="auto"/>
              </w:rPr>
            </w:pPr>
            <w:r>
              <w:rPr>
                <w:rFonts w:ascii="Arial" w:cs="Arial" w:eastAsia="Arial" w:hAnsi="Arial"/>
                <w:sz w:val="14"/>
                <w:szCs w:val="14"/>
                <w:b w:val="1"/>
                <w:bCs w:val="1"/>
                <w:color w:val="431C5B"/>
              </w:rPr>
              <w:t>options,</w:t>
            </w:r>
          </w:p>
        </w:tc>
        <w:tc>
          <w:tcPr>
            <w:tcW w:w="2760" w:type="dxa"/>
            <w:vAlign w:val="bottom"/>
            <w:gridSpan w:val="2"/>
          </w:tcPr>
          <w:p>
            <w:pPr>
              <w:jc w:val="right"/>
              <w:spacing w:after="0"/>
              <w:rPr>
                <w:sz w:val="20"/>
                <w:szCs w:val="20"/>
                <w:color w:val="auto"/>
              </w:rPr>
            </w:pPr>
            <w:r>
              <w:rPr>
                <w:rFonts w:ascii="Arial" w:cs="Arial" w:eastAsia="Arial" w:hAnsi="Arial"/>
                <w:sz w:val="14"/>
                <w:szCs w:val="14"/>
                <w:b w:val="1"/>
                <w:bCs w:val="1"/>
                <w:color w:val="431C5B"/>
              </w:rPr>
              <w:t>available for future issuance under</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2180" w:type="dxa"/>
            <w:vAlign w:val="bottom"/>
          </w:tcPr>
          <w:p>
            <w:pPr>
              <w:jc w:val="right"/>
              <w:ind w:right="244"/>
              <w:spacing w:after="0" w:line="159" w:lineRule="exact"/>
              <w:rPr>
                <w:sz w:val="20"/>
                <w:szCs w:val="20"/>
                <w:color w:val="auto"/>
              </w:rPr>
            </w:pPr>
            <w:r>
              <w:rPr>
                <w:rFonts w:ascii="Arial" w:cs="Arial" w:eastAsia="Arial" w:hAnsi="Arial"/>
                <w:sz w:val="14"/>
                <w:szCs w:val="14"/>
                <w:b w:val="1"/>
                <w:bCs w:val="1"/>
                <w:color w:val="431C5B"/>
              </w:rPr>
              <w:t>of outstanding options,</w:t>
            </w:r>
          </w:p>
        </w:tc>
        <w:tc>
          <w:tcPr>
            <w:tcW w:w="1440" w:type="dxa"/>
            <w:vAlign w:val="bottom"/>
            <w:gridSpan w:val="2"/>
          </w:tcPr>
          <w:p>
            <w:pPr>
              <w:jc w:val="right"/>
              <w:ind w:right="21"/>
              <w:spacing w:after="0" w:line="159" w:lineRule="exact"/>
              <w:rPr>
                <w:sz w:val="20"/>
                <w:szCs w:val="20"/>
                <w:color w:val="auto"/>
              </w:rPr>
            </w:pPr>
            <w:r>
              <w:rPr>
                <w:rFonts w:ascii="Arial" w:cs="Arial" w:eastAsia="Arial" w:hAnsi="Arial"/>
                <w:sz w:val="14"/>
                <w:szCs w:val="14"/>
                <w:b w:val="1"/>
                <w:bCs w:val="1"/>
                <w:color w:val="431C5B"/>
              </w:rPr>
              <w:t>warrants and</w:t>
            </w:r>
          </w:p>
        </w:tc>
        <w:tc>
          <w:tcPr>
            <w:tcW w:w="276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431C5B"/>
              </w:rPr>
              <w:t>equity compensation plans (excluding</w:t>
            </w:r>
          </w:p>
        </w:tc>
        <w:tc>
          <w:tcPr>
            <w:tcW w:w="0" w:type="dxa"/>
            <w:vAlign w:val="bottom"/>
          </w:tcPr>
          <w:p>
            <w:pPr>
              <w:spacing w:after="0"/>
              <w:rPr>
                <w:sz w:val="1"/>
                <w:szCs w:val="1"/>
                <w:color w:val="auto"/>
              </w:rPr>
            </w:pPr>
          </w:p>
        </w:tc>
      </w:tr>
      <w:tr>
        <w:trPr>
          <w:trHeight w:val="187"/>
        </w:trPr>
        <w:tc>
          <w:tcPr>
            <w:tcW w:w="238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Plan category</w:t>
            </w:r>
          </w:p>
        </w:tc>
        <w:tc>
          <w:tcPr>
            <w:tcW w:w="2180" w:type="dxa"/>
            <w:vAlign w:val="bottom"/>
            <w:tcBorders>
              <w:bottom w:val="single" w:sz="8" w:color="431C5B"/>
            </w:tcBorders>
          </w:tcPr>
          <w:p>
            <w:pPr>
              <w:jc w:val="right"/>
              <w:ind w:right="244"/>
              <w:spacing w:after="0" w:line="188" w:lineRule="exact"/>
              <w:rPr>
                <w:sz w:val="20"/>
                <w:szCs w:val="20"/>
                <w:color w:val="auto"/>
              </w:rPr>
            </w:pPr>
            <w:r>
              <w:rPr>
                <w:rFonts w:ascii="Arial" w:cs="Arial" w:eastAsia="Arial" w:hAnsi="Arial"/>
                <w:sz w:val="14"/>
                <w:szCs w:val="14"/>
                <w:b w:val="1"/>
                <w:bCs w:val="1"/>
                <w:color w:val="431C5B"/>
              </w:rPr>
              <w:t>warrants and rights</w:t>
            </w:r>
            <w:r>
              <w:rPr>
                <w:rFonts w:ascii="Arial" w:cs="Arial" w:eastAsia="Arial" w:hAnsi="Arial"/>
                <w:sz w:val="18"/>
                <w:szCs w:val="18"/>
                <w:b w:val="1"/>
                <w:bCs w:val="1"/>
                <w:color w:val="431C5B"/>
                <w:vertAlign w:val="superscript"/>
              </w:rPr>
              <w:t>(1)</w:t>
            </w:r>
          </w:p>
        </w:tc>
        <w:tc>
          <w:tcPr>
            <w:tcW w:w="820" w:type="dxa"/>
            <w:vAlign w:val="bottom"/>
            <w:tcBorders>
              <w:bottom w:val="single" w:sz="8" w:color="431C5B"/>
            </w:tcBorders>
          </w:tcPr>
          <w:p>
            <w:pPr>
              <w:spacing w:after="0"/>
              <w:rPr>
                <w:sz w:val="16"/>
                <w:szCs w:val="16"/>
                <w:color w:val="auto"/>
              </w:rPr>
            </w:pPr>
          </w:p>
        </w:tc>
        <w:tc>
          <w:tcPr>
            <w:tcW w:w="620" w:type="dxa"/>
            <w:vAlign w:val="bottom"/>
            <w:tcBorders>
              <w:bottom w:val="single" w:sz="8" w:color="431C5B"/>
            </w:tcBorders>
          </w:tcPr>
          <w:p>
            <w:pPr>
              <w:jc w:val="right"/>
              <w:ind w:right="21"/>
              <w:spacing w:after="0" w:line="188" w:lineRule="exact"/>
              <w:rPr>
                <w:sz w:val="20"/>
                <w:szCs w:val="20"/>
                <w:color w:val="auto"/>
              </w:rPr>
            </w:pPr>
            <w:r>
              <w:rPr>
                <w:rFonts w:ascii="Arial" w:cs="Arial" w:eastAsia="Arial" w:hAnsi="Arial"/>
                <w:sz w:val="14"/>
                <w:szCs w:val="14"/>
                <w:b w:val="1"/>
                <w:bCs w:val="1"/>
                <w:color w:val="431C5B"/>
                <w:w w:val="93"/>
              </w:rPr>
              <w:t>rights</w:t>
            </w:r>
            <w:r>
              <w:rPr>
                <w:rFonts w:ascii="Arial" w:cs="Arial" w:eastAsia="Arial" w:hAnsi="Arial"/>
                <w:sz w:val="18"/>
                <w:szCs w:val="18"/>
                <w:b w:val="1"/>
                <w:bCs w:val="1"/>
                <w:color w:val="431C5B"/>
                <w:w w:val="93"/>
                <w:vertAlign w:val="superscript"/>
              </w:rPr>
              <w:t>(2)</w:t>
            </w:r>
          </w:p>
        </w:tc>
        <w:tc>
          <w:tcPr>
            <w:tcW w:w="2760" w:type="dxa"/>
            <w:vAlign w:val="bottom"/>
            <w:tcBorders>
              <w:bottom w:val="single" w:sz="8" w:color="431C5B"/>
            </w:tcBorders>
            <w:gridSpan w:val="2"/>
          </w:tcPr>
          <w:p>
            <w:pPr>
              <w:jc w:val="right"/>
              <w:spacing w:after="0" w:line="188" w:lineRule="exact"/>
              <w:rPr>
                <w:sz w:val="20"/>
                <w:szCs w:val="20"/>
                <w:color w:val="auto"/>
              </w:rPr>
            </w:pPr>
            <w:r>
              <w:rPr>
                <w:rFonts w:ascii="Arial" w:cs="Arial" w:eastAsia="Arial" w:hAnsi="Arial"/>
                <w:sz w:val="14"/>
                <w:szCs w:val="14"/>
                <w:b w:val="1"/>
                <w:bCs w:val="1"/>
                <w:color w:val="431C5B"/>
              </w:rPr>
              <w:t>securities reflected in first column)</w:t>
            </w:r>
            <w:r>
              <w:rPr>
                <w:rFonts w:ascii="Arial" w:cs="Arial" w:eastAsia="Arial" w:hAnsi="Arial"/>
                <w:sz w:val="18"/>
                <w:szCs w:val="18"/>
                <w:b w:val="1"/>
                <w:bCs w:val="1"/>
                <w:color w:val="431C5B"/>
                <w:vertAlign w:val="superscript"/>
              </w:rPr>
              <w:t>(3)</w:t>
            </w:r>
          </w:p>
        </w:tc>
        <w:tc>
          <w:tcPr>
            <w:tcW w:w="0" w:type="dxa"/>
            <w:vAlign w:val="bottom"/>
          </w:tcPr>
          <w:p>
            <w:pPr>
              <w:spacing w:after="0"/>
              <w:rPr>
                <w:sz w:val="1"/>
                <w:szCs w:val="1"/>
                <w:color w:val="auto"/>
              </w:rPr>
            </w:pPr>
          </w:p>
        </w:tc>
      </w:tr>
      <w:tr>
        <w:trPr>
          <w:trHeight w:val="209"/>
        </w:trPr>
        <w:tc>
          <w:tcPr>
            <w:tcW w:w="2380" w:type="dxa"/>
            <w:vAlign w:val="bottom"/>
            <w:shd w:val="clear" w:color="auto" w:fill="EDFAEC"/>
          </w:tcPr>
          <w:p>
            <w:pPr>
              <w:ind w:left="80"/>
              <w:spacing w:after="0"/>
              <w:rPr>
                <w:sz w:val="20"/>
                <w:szCs w:val="20"/>
                <w:color w:val="auto"/>
              </w:rPr>
            </w:pPr>
            <w:r>
              <w:rPr>
                <w:rFonts w:ascii="Arial" w:cs="Arial" w:eastAsia="Arial" w:hAnsi="Arial"/>
                <w:sz w:val="16"/>
                <w:szCs w:val="16"/>
                <w:color w:val="auto"/>
              </w:rPr>
              <w:t>Equity compensation plans</w:t>
            </w:r>
          </w:p>
        </w:tc>
        <w:tc>
          <w:tcPr>
            <w:tcW w:w="2180" w:type="dxa"/>
            <w:vAlign w:val="bottom"/>
            <w:vMerge w:val="restart"/>
            <w:shd w:val="clear" w:color="auto" w:fill="EDFAEC"/>
          </w:tcPr>
          <w:p>
            <w:pPr>
              <w:ind w:left="1020"/>
              <w:spacing w:after="0"/>
              <w:rPr>
                <w:sz w:val="20"/>
                <w:szCs w:val="20"/>
                <w:color w:val="auto"/>
              </w:rPr>
            </w:pPr>
            <w:r>
              <w:rPr>
                <w:rFonts w:ascii="Arial" w:cs="Arial" w:eastAsia="Arial" w:hAnsi="Arial"/>
                <w:sz w:val="16"/>
                <w:szCs w:val="16"/>
                <w:color w:val="auto"/>
              </w:rPr>
              <w:t>$ 8,337,686</w:t>
            </w:r>
          </w:p>
        </w:tc>
        <w:tc>
          <w:tcPr>
            <w:tcW w:w="820" w:type="dxa"/>
            <w:vAlign w:val="bottom"/>
            <w:vMerge w:val="restart"/>
            <w:shd w:val="clear" w:color="auto" w:fill="EDFAEC"/>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EDFAEC"/>
          </w:tcPr>
          <w:p>
            <w:pPr>
              <w:jc w:val="right"/>
              <w:ind w:right="41"/>
              <w:spacing w:after="0"/>
              <w:rPr>
                <w:sz w:val="20"/>
                <w:szCs w:val="20"/>
                <w:color w:val="auto"/>
              </w:rPr>
            </w:pPr>
            <w:r>
              <w:rPr>
                <w:rFonts w:ascii="Arial" w:cs="Arial" w:eastAsia="Arial" w:hAnsi="Arial"/>
                <w:sz w:val="16"/>
                <w:szCs w:val="16"/>
                <w:color w:val="auto"/>
              </w:rPr>
              <w:t>98.84</w:t>
            </w:r>
          </w:p>
        </w:tc>
        <w:tc>
          <w:tcPr>
            <w:tcW w:w="1860" w:type="dxa"/>
            <w:vAlign w:val="bottom"/>
            <w:vMerge w:val="restart"/>
            <w:shd w:val="clear" w:color="auto" w:fill="EDFAEC"/>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EDFAEC"/>
          </w:tcPr>
          <w:p>
            <w:pPr>
              <w:jc w:val="right"/>
              <w:spacing w:after="0"/>
              <w:rPr>
                <w:sz w:val="20"/>
                <w:szCs w:val="20"/>
                <w:color w:val="auto"/>
              </w:rPr>
            </w:pPr>
            <w:r>
              <w:rPr>
                <w:rFonts w:ascii="Arial" w:cs="Arial" w:eastAsia="Arial" w:hAnsi="Arial"/>
                <w:sz w:val="16"/>
                <w:szCs w:val="16"/>
                <w:color w:val="auto"/>
              </w:rPr>
              <w:t>23,550,324</w:t>
            </w:r>
          </w:p>
        </w:tc>
        <w:tc>
          <w:tcPr>
            <w:tcW w:w="0" w:type="dxa"/>
            <w:vAlign w:val="bottom"/>
          </w:tcPr>
          <w:p>
            <w:pPr>
              <w:spacing w:after="0"/>
              <w:rPr>
                <w:sz w:val="1"/>
                <w:szCs w:val="1"/>
                <w:color w:val="auto"/>
              </w:rPr>
            </w:pPr>
          </w:p>
        </w:tc>
      </w:tr>
      <w:tr>
        <w:trPr>
          <w:trHeight w:val="107"/>
        </w:trPr>
        <w:tc>
          <w:tcPr>
            <w:tcW w:w="2380" w:type="dxa"/>
            <w:vAlign w:val="bottom"/>
            <w:vMerge w:val="restart"/>
            <w:shd w:val="clear" w:color="auto" w:fill="EDFAEC"/>
          </w:tcPr>
          <w:p>
            <w:pPr>
              <w:ind w:left="80"/>
              <w:spacing w:after="0"/>
              <w:rPr>
                <w:sz w:val="20"/>
                <w:szCs w:val="20"/>
                <w:color w:val="auto"/>
              </w:rPr>
            </w:pPr>
            <w:r>
              <w:rPr>
                <w:rFonts w:ascii="Arial" w:cs="Arial" w:eastAsia="Arial" w:hAnsi="Arial"/>
                <w:sz w:val="16"/>
                <w:szCs w:val="16"/>
                <w:color w:val="auto"/>
              </w:rPr>
              <w:t>approved by security holders</w:t>
            </w:r>
          </w:p>
        </w:tc>
        <w:tc>
          <w:tcPr>
            <w:tcW w:w="2180" w:type="dxa"/>
            <w:vAlign w:val="bottom"/>
            <w:vMerge w:val="continue"/>
            <w:shd w:val="clear" w:color="auto" w:fill="EDFAEC"/>
          </w:tcPr>
          <w:p>
            <w:pPr>
              <w:spacing w:after="0"/>
              <w:rPr>
                <w:sz w:val="9"/>
                <w:szCs w:val="9"/>
                <w:color w:val="auto"/>
              </w:rPr>
            </w:pPr>
          </w:p>
        </w:tc>
        <w:tc>
          <w:tcPr>
            <w:tcW w:w="820" w:type="dxa"/>
            <w:vAlign w:val="bottom"/>
            <w:vMerge w:val="continue"/>
            <w:shd w:val="clear" w:color="auto" w:fill="EDFAEC"/>
          </w:tcPr>
          <w:p>
            <w:pPr>
              <w:spacing w:after="0"/>
              <w:rPr>
                <w:sz w:val="9"/>
                <w:szCs w:val="9"/>
                <w:color w:val="auto"/>
              </w:rPr>
            </w:pPr>
          </w:p>
        </w:tc>
        <w:tc>
          <w:tcPr>
            <w:tcW w:w="620" w:type="dxa"/>
            <w:vAlign w:val="bottom"/>
            <w:vMerge w:val="continue"/>
            <w:shd w:val="clear" w:color="auto" w:fill="EDFAEC"/>
          </w:tcPr>
          <w:p>
            <w:pPr>
              <w:spacing w:after="0"/>
              <w:rPr>
                <w:sz w:val="9"/>
                <w:szCs w:val="9"/>
                <w:color w:val="auto"/>
              </w:rPr>
            </w:pPr>
          </w:p>
        </w:tc>
        <w:tc>
          <w:tcPr>
            <w:tcW w:w="1860" w:type="dxa"/>
            <w:vAlign w:val="bottom"/>
            <w:vMerge w:val="continue"/>
            <w:shd w:val="clear" w:color="auto" w:fill="EDFAEC"/>
          </w:tcPr>
          <w:p>
            <w:pPr>
              <w:spacing w:after="0"/>
              <w:rPr>
                <w:sz w:val="9"/>
                <w:szCs w:val="9"/>
                <w:color w:val="auto"/>
              </w:rPr>
            </w:pPr>
          </w:p>
        </w:tc>
        <w:tc>
          <w:tcPr>
            <w:tcW w:w="900" w:type="dxa"/>
            <w:vAlign w:val="bottom"/>
            <w:vMerge w:val="continue"/>
            <w:shd w:val="clear" w:color="auto" w:fill="EDFAEC"/>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380" w:type="dxa"/>
            <w:vAlign w:val="bottom"/>
            <w:tcBorders>
              <w:bottom w:val="single" w:sz="8" w:color="E6E6E6"/>
            </w:tcBorders>
            <w:vMerge w:val="continue"/>
            <w:shd w:val="clear" w:color="auto" w:fill="EDFAEC"/>
          </w:tcPr>
          <w:p>
            <w:pPr>
              <w:spacing w:after="0"/>
              <w:rPr>
                <w:sz w:val="8"/>
                <w:szCs w:val="8"/>
                <w:color w:val="auto"/>
              </w:rPr>
            </w:pPr>
          </w:p>
        </w:tc>
        <w:tc>
          <w:tcPr>
            <w:tcW w:w="2180" w:type="dxa"/>
            <w:vAlign w:val="bottom"/>
            <w:tcBorders>
              <w:bottom w:val="single" w:sz="8" w:color="E6E6E6"/>
            </w:tcBorders>
            <w:shd w:val="clear" w:color="auto" w:fill="EDFAEC"/>
          </w:tcPr>
          <w:p>
            <w:pPr>
              <w:spacing w:after="0"/>
              <w:rPr>
                <w:sz w:val="8"/>
                <w:szCs w:val="8"/>
                <w:color w:val="auto"/>
              </w:rPr>
            </w:pPr>
          </w:p>
        </w:tc>
        <w:tc>
          <w:tcPr>
            <w:tcW w:w="820" w:type="dxa"/>
            <w:vAlign w:val="bottom"/>
            <w:tcBorders>
              <w:bottom w:val="single" w:sz="8" w:color="E6E6E6"/>
            </w:tcBorders>
            <w:shd w:val="clear" w:color="auto" w:fill="EDFAEC"/>
          </w:tcPr>
          <w:p>
            <w:pPr>
              <w:spacing w:after="0"/>
              <w:rPr>
                <w:sz w:val="8"/>
                <w:szCs w:val="8"/>
                <w:color w:val="auto"/>
              </w:rPr>
            </w:pPr>
          </w:p>
        </w:tc>
        <w:tc>
          <w:tcPr>
            <w:tcW w:w="620" w:type="dxa"/>
            <w:vAlign w:val="bottom"/>
            <w:tcBorders>
              <w:bottom w:val="single" w:sz="8" w:color="E6E6E6"/>
            </w:tcBorders>
            <w:shd w:val="clear" w:color="auto" w:fill="EDFAEC"/>
          </w:tcPr>
          <w:p>
            <w:pPr>
              <w:spacing w:after="0"/>
              <w:rPr>
                <w:sz w:val="8"/>
                <w:szCs w:val="8"/>
                <w:color w:val="auto"/>
              </w:rPr>
            </w:pPr>
          </w:p>
        </w:tc>
        <w:tc>
          <w:tcPr>
            <w:tcW w:w="1860" w:type="dxa"/>
            <w:vAlign w:val="bottom"/>
            <w:tcBorders>
              <w:bottom w:val="single" w:sz="8" w:color="E6E6E6"/>
            </w:tcBorders>
            <w:shd w:val="clear" w:color="auto" w:fill="EDFAEC"/>
          </w:tcPr>
          <w:p>
            <w:pPr>
              <w:spacing w:after="0"/>
              <w:rPr>
                <w:sz w:val="8"/>
                <w:szCs w:val="8"/>
                <w:color w:val="auto"/>
              </w:rPr>
            </w:pPr>
          </w:p>
        </w:tc>
        <w:tc>
          <w:tcPr>
            <w:tcW w:w="900" w:type="dxa"/>
            <w:vAlign w:val="bottom"/>
            <w:tcBorders>
              <w:bottom w:val="single" w:sz="8" w:color="E6E6E6"/>
            </w:tcBorders>
            <w:shd w:val="clear" w:color="auto" w:fill="EDFAEC"/>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380" w:type="dxa"/>
            <w:vAlign w:val="bottom"/>
          </w:tcPr>
          <w:p>
            <w:pPr>
              <w:ind w:left="80"/>
              <w:spacing w:after="0"/>
              <w:rPr>
                <w:sz w:val="20"/>
                <w:szCs w:val="20"/>
                <w:color w:val="auto"/>
              </w:rPr>
            </w:pPr>
            <w:r>
              <w:rPr>
                <w:rFonts w:ascii="Arial" w:cs="Arial" w:eastAsia="Arial" w:hAnsi="Arial"/>
                <w:sz w:val="16"/>
                <w:szCs w:val="16"/>
                <w:color w:val="auto"/>
              </w:rPr>
              <w:t>Equity compensation plan not</w:t>
            </w:r>
          </w:p>
        </w:tc>
        <w:tc>
          <w:tcPr>
            <w:tcW w:w="2180" w:type="dxa"/>
            <w:vAlign w:val="bottom"/>
          </w:tcPr>
          <w:p>
            <w:pPr>
              <w:ind w:left="1020"/>
              <w:spacing w:after="0"/>
              <w:rPr>
                <w:sz w:val="20"/>
                <w:szCs w:val="20"/>
                <w:color w:val="auto"/>
              </w:rPr>
            </w:pPr>
            <w:r>
              <w:rPr>
                <w:rFonts w:ascii="Arial" w:cs="Arial" w:eastAsia="Arial" w:hAnsi="Arial"/>
                <w:sz w:val="16"/>
                <w:szCs w:val="16"/>
                <w:color w:val="auto"/>
              </w:rPr>
              <w:t xml:space="preserve">$ 1,585,989  </w:t>
            </w:r>
            <w:r>
              <w:rPr>
                <w:rFonts w:ascii="Arial" w:cs="Arial" w:eastAsia="Arial" w:hAnsi="Arial"/>
                <w:sz w:val="21"/>
                <w:szCs w:val="21"/>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98"/>
              </w:rPr>
              <w:t>113.63</w:t>
            </w: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2380" w:type="dxa"/>
            <w:vAlign w:val="bottom"/>
            <w:tcBorders>
              <w:bottom w:val="single" w:sz="8" w:color="E6E6E6"/>
            </w:tcBorders>
          </w:tcPr>
          <w:p>
            <w:pPr>
              <w:ind w:left="80"/>
              <w:spacing w:after="0" w:line="148" w:lineRule="exact"/>
              <w:rPr>
                <w:sz w:val="20"/>
                <w:szCs w:val="20"/>
                <w:color w:val="auto"/>
              </w:rPr>
            </w:pPr>
            <w:r>
              <w:rPr>
                <w:rFonts w:ascii="Arial" w:cs="Arial" w:eastAsia="Arial" w:hAnsi="Arial"/>
                <w:sz w:val="16"/>
                <w:szCs w:val="16"/>
                <w:color w:val="auto"/>
              </w:rPr>
              <w:t>approved by security holders</w:t>
            </w:r>
          </w:p>
        </w:tc>
        <w:tc>
          <w:tcPr>
            <w:tcW w:w="2180" w:type="dxa"/>
            <w:vAlign w:val="bottom"/>
            <w:tcBorders>
              <w:bottom w:val="single" w:sz="8" w:color="E6E6E6"/>
            </w:tcBorders>
          </w:tcPr>
          <w:p>
            <w:pPr>
              <w:spacing w:after="0"/>
              <w:rPr>
                <w:sz w:val="12"/>
                <w:szCs w:val="12"/>
                <w:color w:val="auto"/>
              </w:rPr>
            </w:pPr>
          </w:p>
        </w:tc>
        <w:tc>
          <w:tcPr>
            <w:tcW w:w="820" w:type="dxa"/>
            <w:vAlign w:val="bottom"/>
            <w:tcBorders>
              <w:bottom w:val="single" w:sz="8" w:color="E6E6E6"/>
            </w:tcBorders>
          </w:tcPr>
          <w:p>
            <w:pPr>
              <w:spacing w:after="0"/>
              <w:rPr>
                <w:sz w:val="12"/>
                <w:szCs w:val="12"/>
                <w:color w:val="auto"/>
              </w:rPr>
            </w:pPr>
          </w:p>
        </w:tc>
        <w:tc>
          <w:tcPr>
            <w:tcW w:w="620" w:type="dxa"/>
            <w:vAlign w:val="bottom"/>
            <w:tcBorders>
              <w:bottom w:val="single" w:sz="8" w:color="E6E6E6"/>
            </w:tcBorders>
          </w:tcPr>
          <w:p>
            <w:pPr>
              <w:spacing w:after="0"/>
              <w:rPr>
                <w:sz w:val="12"/>
                <w:szCs w:val="12"/>
                <w:color w:val="auto"/>
              </w:rPr>
            </w:pPr>
          </w:p>
        </w:tc>
        <w:tc>
          <w:tcPr>
            <w:tcW w:w="1860" w:type="dxa"/>
            <w:vAlign w:val="bottom"/>
            <w:tcBorders>
              <w:bottom w:val="single" w:sz="8" w:color="E6E6E6"/>
            </w:tcBorders>
          </w:tcPr>
          <w:p>
            <w:pPr>
              <w:spacing w:after="0"/>
              <w:rPr>
                <w:sz w:val="12"/>
                <w:szCs w:val="12"/>
                <w:color w:val="auto"/>
              </w:rPr>
            </w:pPr>
          </w:p>
        </w:tc>
        <w:tc>
          <w:tcPr>
            <w:tcW w:w="900" w:type="dxa"/>
            <w:vAlign w:val="bottom"/>
            <w:tcBorders>
              <w:bottom w:val="single" w:sz="8" w:color="E6E6E6"/>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380" w:type="dxa"/>
            <w:vAlign w:val="bottom"/>
            <w:tcBorders>
              <w:bottom w:val="single" w:sz="8" w:color="431C5B"/>
            </w:tcBorders>
            <w:shd w:val="clear" w:color="auto" w:fill="EDFAEC"/>
          </w:tcPr>
          <w:p>
            <w:pPr>
              <w:ind w:left="80"/>
              <w:spacing w:after="0"/>
              <w:rPr>
                <w:sz w:val="20"/>
                <w:szCs w:val="20"/>
                <w:color w:val="auto"/>
              </w:rPr>
            </w:pPr>
            <w:r>
              <w:rPr>
                <w:rFonts w:ascii="Arial" w:cs="Arial" w:eastAsia="Arial" w:hAnsi="Arial"/>
                <w:sz w:val="16"/>
                <w:szCs w:val="16"/>
                <w:color w:val="auto"/>
              </w:rPr>
              <w:t>Total</w:t>
            </w:r>
          </w:p>
        </w:tc>
        <w:tc>
          <w:tcPr>
            <w:tcW w:w="2180" w:type="dxa"/>
            <w:vAlign w:val="bottom"/>
            <w:tcBorders>
              <w:bottom w:val="single" w:sz="8" w:color="431C5B"/>
            </w:tcBorders>
            <w:shd w:val="clear" w:color="auto" w:fill="EDFAEC"/>
          </w:tcPr>
          <w:p>
            <w:pPr>
              <w:ind w:left="1020"/>
              <w:spacing w:after="0"/>
              <w:rPr>
                <w:sz w:val="20"/>
                <w:szCs w:val="20"/>
                <w:color w:val="auto"/>
              </w:rPr>
            </w:pPr>
            <w:r>
              <w:rPr>
                <w:rFonts w:ascii="Arial" w:cs="Arial" w:eastAsia="Arial" w:hAnsi="Arial"/>
                <w:sz w:val="16"/>
                <w:szCs w:val="16"/>
                <w:color w:val="auto"/>
              </w:rPr>
              <w:t>$ 9,923,675</w:t>
            </w:r>
          </w:p>
        </w:tc>
        <w:tc>
          <w:tcPr>
            <w:tcW w:w="82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431C5B"/>
            </w:tcBorders>
            <w:shd w:val="clear" w:color="auto" w:fill="EDFAEC"/>
          </w:tcPr>
          <w:p>
            <w:pPr>
              <w:jc w:val="right"/>
              <w:ind w:right="41"/>
              <w:spacing w:after="0"/>
              <w:rPr>
                <w:sz w:val="20"/>
                <w:szCs w:val="20"/>
                <w:color w:val="auto"/>
              </w:rPr>
            </w:pPr>
            <w:r>
              <w:rPr>
                <w:rFonts w:ascii="Arial" w:cs="Arial" w:eastAsia="Arial" w:hAnsi="Arial"/>
                <w:sz w:val="16"/>
                <w:szCs w:val="16"/>
                <w:color w:val="auto"/>
                <w:w w:val="98"/>
              </w:rPr>
              <w:t>103.71</w:t>
            </w:r>
          </w:p>
        </w:tc>
        <w:tc>
          <w:tcPr>
            <w:tcW w:w="186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6"/>
                <w:szCs w:val="16"/>
                <w:color w:val="auto"/>
              </w:rPr>
              <w:t>23,550,324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80" w:hanging="250"/>
        <w:spacing w:after="0"/>
        <w:tabs>
          <w:tab w:leader="none" w:pos="380" w:val="left"/>
        </w:tabs>
        <w:numPr>
          <w:ilvl w:val="0"/>
          <w:numId w:val="134"/>
        </w:numPr>
        <w:rPr>
          <w:rFonts w:ascii="Arial" w:cs="Arial" w:eastAsia="Arial" w:hAnsi="Arial"/>
          <w:sz w:val="16"/>
          <w:szCs w:val="16"/>
          <w:color w:val="auto"/>
          <w:vertAlign w:val="superscript"/>
        </w:rPr>
      </w:pPr>
      <w:r>
        <w:rPr>
          <w:rFonts w:ascii="Arial" w:cs="Arial" w:eastAsia="Arial" w:hAnsi="Arial"/>
          <w:sz w:val="13"/>
          <w:szCs w:val="13"/>
          <w:color w:val="auto"/>
        </w:rPr>
        <w:t>Reflects the following outstanding equity-based awards:</w:t>
      </w:r>
    </w:p>
    <w:p>
      <w:pPr>
        <w:spacing w:after="0" w:line="50" w:lineRule="exact"/>
        <w:rPr>
          <w:rFonts w:ascii="Arial" w:cs="Arial" w:eastAsia="Arial" w:hAnsi="Arial"/>
          <w:sz w:val="16"/>
          <w:szCs w:val="16"/>
          <w:color w:val="auto"/>
          <w:vertAlign w:val="superscript"/>
        </w:rPr>
      </w:pPr>
    </w:p>
    <w:p>
      <w:pPr>
        <w:ind w:left="580" w:hanging="191"/>
        <w:spacing w:after="0"/>
        <w:tabs>
          <w:tab w:leader="none" w:pos="580" w:val="left"/>
        </w:tabs>
        <w:numPr>
          <w:ilvl w:val="1"/>
          <w:numId w:val="134"/>
        </w:numPr>
        <w:rPr>
          <w:rFonts w:ascii="Arial" w:cs="Arial" w:eastAsia="Arial" w:hAnsi="Arial"/>
          <w:sz w:val="13"/>
          <w:szCs w:val="13"/>
          <w:color w:val="auto"/>
        </w:rPr>
      </w:pPr>
      <w:r>
        <w:rPr>
          <w:rFonts w:ascii="Arial" w:cs="Arial" w:eastAsia="Arial" w:hAnsi="Arial"/>
          <w:sz w:val="13"/>
          <w:szCs w:val="13"/>
          <w:color w:val="auto"/>
        </w:rPr>
        <w:t>4,790,237 stock options;</w:t>
      </w:r>
    </w:p>
    <w:p>
      <w:pPr>
        <w:spacing w:after="0" w:line="66" w:lineRule="exact"/>
        <w:rPr>
          <w:rFonts w:ascii="Arial" w:cs="Arial" w:eastAsia="Arial" w:hAnsi="Arial"/>
          <w:sz w:val="13"/>
          <w:szCs w:val="13"/>
          <w:color w:val="auto"/>
        </w:rPr>
      </w:pPr>
    </w:p>
    <w:p>
      <w:pPr>
        <w:ind w:left="580" w:hanging="191"/>
        <w:spacing w:after="0"/>
        <w:tabs>
          <w:tab w:leader="none" w:pos="580" w:val="left"/>
        </w:tabs>
        <w:numPr>
          <w:ilvl w:val="1"/>
          <w:numId w:val="134"/>
        </w:numPr>
        <w:rPr>
          <w:rFonts w:ascii="Arial" w:cs="Arial" w:eastAsia="Arial" w:hAnsi="Arial"/>
          <w:sz w:val="13"/>
          <w:szCs w:val="13"/>
          <w:color w:val="auto"/>
        </w:rPr>
      </w:pPr>
      <w:r>
        <w:rPr>
          <w:rFonts w:ascii="Arial" w:cs="Arial" w:eastAsia="Arial" w:hAnsi="Arial"/>
          <w:sz w:val="13"/>
          <w:szCs w:val="13"/>
          <w:color w:val="auto"/>
        </w:rPr>
        <w:t>3,449,264 restricted stock units; and</w:t>
      </w:r>
    </w:p>
    <w:p>
      <w:pPr>
        <w:spacing w:after="0" w:line="66" w:lineRule="exact"/>
        <w:rPr>
          <w:rFonts w:ascii="Arial" w:cs="Arial" w:eastAsia="Arial" w:hAnsi="Arial"/>
          <w:sz w:val="13"/>
          <w:szCs w:val="13"/>
          <w:color w:val="auto"/>
        </w:rPr>
      </w:pPr>
    </w:p>
    <w:p>
      <w:pPr>
        <w:ind w:left="580" w:hanging="191"/>
        <w:spacing w:after="0"/>
        <w:tabs>
          <w:tab w:leader="none" w:pos="580" w:val="left"/>
        </w:tabs>
        <w:numPr>
          <w:ilvl w:val="1"/>
          <w:numId w:val="134"/>
        </w:numPr>
        <w:rPr>
          <w:rFonts w:ascii="Arial" w:cs="Arial" w:eastAsia="Arial" w:hAnsi="Arial"/>
          <w:sz w:val="13"/>
          <w:szCs w:val="13"/>
          <w:color w:val="auto"/>
        </w:rPr>
      </w:pPr>
      <w:r>
        <w:rPr>
          <w:rFonts w:ascii="Arial" w:cs="Arial" w:eastAsia="Arial" w:hAnsi="Arial"/>
          <w:sz w:val="13"/>
          <w:szCs w:val="13"/>
          <w:color w:val="auto"/>
        </w:rPr>
        <w:t>1,684,174 performance stock units.</w:t>
      </w:r>
    </w:p>
    <w:p>
      <w:pPr>
        <w:spacing w:after="0" w:line="66" w:lineRule="exact"/>
        <w:rPr>
          <w:rFonts w:ascii="Arial" w:cs="Arial" w:eastAsia="Arial" w:hAnsi="Arial"/>
          <w:sz w:val="13"/>
          <w:szCs w:val="13"/>
          <w:color w:val="auto"/>
        </w:rPr>
      </w:pPr>
    </w:p>
    <w:p>
      <w:pPr>
        <w:ind w:left="380" w:right="179" w:hanging="250"/>
        <w:spacing w:after="0" w:line="252" w:lineRule="auto"/>
        <w:tabs>
          <w:tab w:leader="none" w:pos="380" w:val="left"/>
        </w:tabs>
        <w:numPr>
          <w:ilvl w:val="0"/>
          <w:numId w:val="134"/>
        </w:numPr>
        <w:rPr>
          <w:rFonts w:ascii="Arial" w:cs="Arial" w:eastAsia="Arial" w:hAnsi="Arial"/>
          <w:sz w:val="16"/>
          <w:szCs w:val="16"/>
          <w:color w:val="auto"/>
          <w:vertAlign w:val="superscript"/>
        </w:rPr>
      </w:pPr>
      <w:r>
        <w:rPr>
          <w:rFonts w:ascii="Arial" w:cs="Arial" w:eastAsia="Arial" w:hAnsi="Arial"/>
          <w:sz w:val="13"/>
          <w:szCs w:val="13"/>
          <w:color w:val="auto"/>
        </w:rPr>
        <w:t>Weighted-average exercise price excludes restricted stock, restricted stock units, performance shares and performance stock units, as they do not have exercise prices.</w:t>
      </w:r>
    </w:p>
    <w:p>
      <w:pPr>
        <w:spacing w:after="0" w:line="41" w:lineRule="exact"/>
        <w:rPr>
          <w:rFonts w:ascii="Arial" w:cs="Arial" w:eastAsia="Arial" w:hAnsi="Arial"/>
          <w:sz w:val="16"/>
          <w:szCs w:val="16"/>
          <w:color w:val="auto"/>
          <w:vertAlign w:val="superscript"/>
        </w:rPr>
      </w:pPr>
    </w:p>
    <w:p>
      <w:pPr>
        <w:ind w:left="380" w:right="159" w:hanging="250"/>
        <w:spacing w:after="0" w:line="272" w:lineRule="auto"/>
        <w:tabs>
          <w:tab w:leader="none" w:pos="380" w:val="left"/>
        </w:tabs>
        <w:numPr>
          <w:ilvl w:val="0"/>
          <w:numId w:val="134"/>
        </w:numPr>
        <w:rPr>
          <w:rFonts w:ascii="Arial" w:cs="Arial" w:eastAsia="Arial" w:hAnsi="Arial"/>
          <w:sz w:val="15"/>
          <w:szCs w:val="15"/>
          <w:color w:val="auto"/>
          <w:vertAlign w:val="superscript"/>
        </w:rPr>
      </w:pPr>
      <w:r>
        <w:rPr>
          <w:rFonts w:ascii="Arial" w:cs="Arial" w:eastAsia="Arial" w:hAnsi="Arial"/>
          <w:sz w:val="12"/>
          <w:szCs w:val="12"/>
          <w:color w:val="auto"/>
        </w:rPr>
        <w:t>As of December 31, 2025, in addition to being available for issuance pursuant to the exercise of options, warrants or rights, the 23,550,324 shares under the Fidelity National Information Services, Inc. 2022 Omnibus Incentive Plan, which we refer to as the 2022 Omnibus Plan, were also available for issuance in the form of restricted stock, restricted stock units, performance shares, performance stock units, or other stock-based awards.</w:t>
      </w:r>
    </w:p>
    <w:p>
      <w:pPr>
        <w:spacing w:after="0" w:line="31" w:lineRule="exact"/>
        <w:rPr>
          <w:rFonts w:ascii="Arial" w:cs="Arial" w:eastAsia="Arial" w:hAnsi="Arial"/>
          <w:sz w:val="15"/>
          <w:szCs w:val="15"/>
          <w:color w:val="auto"/>
          <w:vertAlign w:val="superscript"/>
        </w:rPr>
      </w:pPr>
    </w:p>
    <w:p>
      <w:pPr>
        <w:ind w:left="380" w:right="219" w:hanging="250"/>
        <w:spacing w:after="0" w:line="257" w:lineRule="auto"/>
        <w:tabs>
          <w:tab w:leader="none" w:pos="380" w:val="left"/>
        </w:tabs>
        <w:numPr>
          <w:ilvl w:val="0"/>
          <w:numId w:val="134"/>
        </w:numPr>
        <w:rPr>
          <w:rFonts w:ascii="Arial" w:cs="Arial" w:eastAsia="Arial" w:hAnsi="Arial"/>
          <w:sz w:val="16"/>
          <w:szCs w:val="16"/>
          <w:color w:val="auto"/>
          <w:vertAlign w:val="superscript"/>
        </w:rPr>
      </w:pPr>
      <w:r>
        <w:rPr>
          <w:rFonts w:ascii="Arial" w:cs="Arial" w:eastAsia="Arial" w:hAnsi="Arial"/>
          <w:sz w:val="13"/>
          <w:szCs w:val="13"/>
          <w:color w:val="auto"/>
        </w:rPr>
        <w:t>Includes 889,688 outstanding stock options, restricted stock units and target performance stock units granted with respect to shares that were added to the Company's existing omnibus incentive plan in connection with the SunGard acquisition in 2015 and 687,728 outstanding stock options, restricted stock units and target performance stock units that were granted with respect to shares that were added to the Company’s existing omnibus incentive plan in connection with the Worldpay acquisition in 2019. In accordance with NYSE rules, no shareholder approval was required for the listing of these shares. No further shares that were assumed from the SunGard and Worldpay plans are available to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0"/>
        <w:spacing w:after="0"/>
        <w:rPr>
          <w:sz w:val="20"/>
          <w:szCs w:val="20"/>
          <w:color w:val="auto"/>
        </w:rPr>
      </w:pPr>
      <w:r>
        <w:rPr>
          <w:rFonts w:ascii="Arial" w:cs="Arial" w:eastAsia="Arial" w:hAnsi="Arial"/>
          <w:sz w:val="54"/>
          <w:szCs w:val="54"/>
          <w:color w:val="431C5B"/>
        </w:rPr>
        <w:t>Delinquent Section 16(a) Reports</w:t>
      </w:r>
    </w:p>
    <w:p>
      <w:pPr>
        <w:spacing w:after="0" w:line="353" w:lineRule="exact"/>
        <w:rPr>
          <w:sz w:val="20"/>
          <w:szCs w:val="20"/>
          <w:color w:val="auto"/>
        </w:rPr>
      </w:pPr>
    </w:p>
    <w:p>
      <w:pPr>
        <w:ind w:left="140" w:right="239"/>
        <w:spacing w:after="0" w:line="280" w:lineRule="auto"/>
        <w:rPr>
          <w:sz w:val="20"/>
          <w:szCs w:val="20"/>
          <w:color w:val="auto"/>
        </w:rPr>
      </w:pPr>
      <w:r>
        <w:rPr>
          <w:rFonts w:ascii="Arial" w:cs="Arial" w:eastAsia="Arial" w:hAnsi="Arial"/>
          <w:sz w:val="16"/>
          <w:szCs w:val="16"/>
          <w:color w:val="auto"/>
        </w:rPr>
        <w:t>Section 16 of the Exchange Act requires the Company’s executive officers and directors to file reports of their ownership, and changes in ownership, of the Company’s common stock with the SEC. The Company is required to report in this proxy statement any failure of its directors and executive officers to file by the relevant due date any reports required to be filed pursuant to Section 16 during fiscal year 2025. To the Company’s knowledge, based upon the reports filed and written representations regarding reports required during the fiscal year ended December 31, 2025, no director or executive officer of FIS failed to file reports required by Section 16(a) on a timely basis.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429"/>
        <w:spacing w:after="0"/>
        <w:tabs>
          <w:tab w:leader="none" w:pos="620" w:val="left"/>
        </w:tabs>
        <w:numPr>
          <w:ilvl w:val="0"/>
          <w:numId w:val="135"/>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1440" w:right="1440" w:bottom="1440" w:gutter="0" w:footer="0" w:header="0"/>
          <w:type w:val="continuous"/>
        </w:sectPr>
      </w:pPr>
    </w:p>
    <w:bookmarkStart w:id="97" w:name="page98"/>
    <w:bookmarkEnd w:id="97"/>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140" w:right="419"/>
        <w:spacing w:after="0" w:line="297" w:lineRule="auto"/>
        <w:rPr>
          <w:sz w:val="20"/>
          <w:szCs w:val="20"/>
          <w:color w:val="auto"/>
        </w:rPr>
      </w:pPr>
      <w:r>
        <w:rPr>
          <w:rFonts w:ascii="Arial" w:cs="Arial" w:eastAsia="Arial" w:hAnsi="Arial"/>
          <w:sz w:val="53"/>
          <w:szCs w:val="53"/>
          <w:color w:val="431C5B"/>
        </w:rPr>
        <w:t>Shareholder Nominations for Board Membership and Other Proposals</w:t>
      </w:r>
    </w:p>
    <w:p>
      <w:pPr>
        <w:spacing w:after="0" w:line="114" w:lineRule="exact"/>
        <w:rPr>
          <w:sz w:val="20"/>
          <w:szCs w:val="20"/>
          <w:color w:val="auto"/>
        </w:rPr>
      </w:pPr>
    </w:p>
    <w:p>
      <w:pPr>
        <w:ind w:left="140" w:right="219"/>
        <w:spacing w:after="0" w:line="274" w:lineRule="auto"/>
        <w:rPr>
          <w:sz w:val="20"/>
          <w:szCs w:val="20"/>
          <w:color w:val="auto"/>
        </w:rPr>
      </w:pPr>
      <w:r>
        <w:rPr>
          <w:rFonts w:ascii="Arial" w:cs="Arial" w:eastAsia="Arial" w:hAnsi="Arial"/>
          <w:sz w:val="16"/>
          <w:szCs w:val="16"/>
          <w:color w:val="auto"/>
          <w:highlight w:val="white"/>
        </w:rPr>
        <w:t>A shareholder wishing to nominate any person for election as a director of FIS at the Annual Meeting of Shareholders to be held in 2027 must comply with Section 1.12 (Shareholder Proposals and Nominations) or Section 2.12 (Proxy Access) of our Bylaws. Section 1.12 requires notice to FIS no earlier than November 29, 2026 and no later than December 29, 2026, accompanied by the information required by Section 1.12. Section 2.12(b) requires notice to FIS no earlier than November 29, 2026, and no later than December 29, 2026, accompanied by the information required by Section 2.12. If the date of the Annual Meeting of Shareholders to be held in 2027 is changed to a date more than 30 days earlier or later than June 10, 2027, shareholders wishing to nominate any person for election as a director of FIS at the Annual Meeting of Shareholders to be held in 2027 must comply with the notice deadlines as calculated in Section 1.12(d) and 2.12(b).</w:t>
      </w:r>
    </w:p>
    <w:p>
      <w:pPr>
        <w:spacing w:after="0" w:line="129" w:lineRule="exact"/>
        <w:rPr>
          <w:sz w:val="20"/>
          <w:szCs w:val="20"/>
          <w:color w:val="auto"/>
        </w:rPr>
      </w:pPr>
    </w:p>
    <w:p>
      <w:pPr>
        <w:ind w:left="140" w:right="459"/>
        <w:spacing w:after="0" w:line="301" w:lineRule="auto"/>
        <w:rPr>
          <w:sz w:val="20"/>
          <w:szCs w:val="20"/>
          <w:color w:val="auto"/>
        </w:rPr>
      </w:pPr>
      <w:r>
        <w:rPr>
          <w:rFonts w:ascii="Arial" w:cs="Arial" w:eastAsia="Arial" w:hAnsi="Arial"/>
          <w:sz w:val="15"/>
          <w:szCs w:val="15"/>
          <w:color w:val="auto"/>
          <w:highlight w:val="white"/>
        </w:rPr>
        <w:t>In addition to satisfying the foregoing requirements under the Company’s Bylaws, to comply with the universal proxy rules, shareholders who intend to solicit proxies in support of director nominees other than the Company’s nominees must provide notice that sets forth the information required by Rule 14a-19 under the Securities Exchange Act of 1934, as amended. Such notice must be provided to the Corporate Secretary of the Company at 347 Riverside Avenue, Jacksonville, Florida 32202, no later than April 12, 2027, assuming that the 2026 Annual Meeting of Shareholders is held on schedule.</w:t>
      </w:r>
    </w:p>
    <w:p>
      <w:pPr>
        <w:spacing w:after="0" w:line="106" w:lineRule="exact"/>
        <w:rPr>
          <w:sz w:val="20"/>
          <w:szCs w:val="20"/>
          <w:color w:val="auto"/>
        </w:rPr>
      </w:pPr>
    </w:p>
    <w:p>
      <w:pPr>
        <w:ind w:left="140" w:right="219"/>
        <w:spacing w:after="0" w:line="293" w:lineRule="auto"/>
        <w:rPr>
          <w:sz w:val="20"/>
          <w:szCs w:val="20"/>
          <w:color w:val="auto"/>
        </w:rPr>
      </w:pPr>
      <w:r>
        <w:rPr>
          <w:rFonts w:ascii="Arial" w:cs="Arial" w:eastAsia="Arial" w:hAnsi="Arial"/>
          <w:sz w:val="15"/>
          <w:szCs w:val="15"/>
          <w:color w:val="auto"/>
          <w:highlight w:val="white"/>
        </w:rPr>
        <w:t>Any other proposal that a shareholder wishes to be considered for inclusion in the proxy and proxy statement relating to the Annual Meeting of Shareholders to be held in 2027 pursuant to Rule 14a-8 must be received by the Company no later than December 29, 2026. Any proposal that a shareholder wishes to bring before the 2027 Annual Meeting of Shareholders without inclusion of such proposal in the Company’s proxy materials must also be received by the Company no later than December 29, 2026. All proposals must comply with the applicable requirements or conditions established by the SEC and the Company’s Bylaws, which require, among other things, certain information to be provided in connection with the submission of shareholder proposals. All proposals must be directed to the Corporate Secretary of the Company at 347 Riverside Avenue, Jacksonville, Florida 32202. The persons designated by us as proxies in connection with the Annual Meeting of Shareholders will have discretionary voting authority with respect to any shareholder proposal for which the Company does not receive timely notice.</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431C5B"/>
        </w:rPr>
        <w:t>Shareholder Recommendations for Board Membership</w:t>
      </w:r>
    </w:p>
    <w:p>
      <w:pPr>
        <w:spacing w:after="0" w:line="101" w:lineRule="exact"/>
        <w:rPr>
          <w:sz w:val="20"/>
          <w:szCs w:val="20"/>
          <w:color w:val="auto"/>
        </w:rPr>
      </w:pPr>
    </w:p>
    <w:p>
      <w:pPr>
        <w:ind w:left="140" w:right="319"/>
        <w:spacing w:after="0" w:line="284" w:lineRule="auto"/>
        <w:rPr>
          <w:sz w:val="20"/>
          <w:szCs w:val="20"/>
          <w:color w:val="auto"/>
        </w:rPr>
      </w:pPr>
      <w:r>
        <w:rPr>
          <w:rFonts w:ascii="Arial" w:cs="Arial" w:eastAsia="Arial" w:hAnsi="Arial"/>
          <w:sz w:val="16"/>
          <w:szCs w:val="16"/>
          <w:color w:val="auto"/>
        </w:rPr>
        <w:t>The Board has adopted a policy with respect to the consideration of director candidates recommended by shareholders. A candidate submission from a shareholder will be considered at any time if the following information is submitted to the Corporate Secretary of the Company:</w:t>
      </w:r>
    </w:p>
    <w:p>
      <w:pPr>
        <w:spacing w:after="0" w:line="116" w:lineRule="exact"/>
        <w:rPr>
          <w:sz w:val="20"/>
          <w:szCs w:val="20"/>
          <w:color w:val="auto"/>
        </w:rPr>
      </w:pPr>
    </w:p>
    <w:p>
      <w:pPr>
        <w:ind w:left="320" w:right="419" w:hanging="190"/>
        <w:spacing w:after="0" w:line="308" w:lineRule="auto"/>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recommending shareholder’s name and address, together with the number of shares, length of period held and proof of ownership;</w:t>
      </w:r>
    </w:p>
    <w:p>
      <w:pPr>
        <w:ind w:left="320" w:hanging="190"/>
        <w:spacing w:after="0"/>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Name, age and address of candidate;</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Detailed resume of candidate, including education, occupation, employment and other current commitments;</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Description of arrangements or understandings between the recommending shareholder and the candidate;</w:t>
      </w:r>
    </w:p>
    <w:p>
      <w:pPr>
        <w:spacing w:after="0" w:line="86" w:lineRule="exact"/>
        <w:rPr>
          <w:rFonts w:ascii="Arial" w:cs="Arial" w:eastAsia="Arial" w:hAnsi="Arial"/>
          <w:sz w:val="16"/>
          <w:szCs w:val="16"/>
          <w:color w:val="auto"/>
        </w:rPr>
      </w:pPr>
    </w:p>
    <w:p>
      <w:pPr>
        <w:ind w:left="320" w:right="639" w:hanging="190"/>
        <w:spacing w:after="0" w:line="299" w:lineRule="auto"/>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Statement describing the candidate’s reasons for seeking election to the Board and documenting the candidate’s satisfaction of qualifications articulated by the Board;</w:t>
      </w:r>
    </w:p>
    <w:p>
      <w:pPr>
        <w:ind w:left="320" w:right="899" w:hanging="190"/>
        <w:spacing w:after="0" w:line="304" w:lineRule="auto"/>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signed statement from the candidate, confirming willingness to serve and lack of conflict of interest with the Company; and</w:t>
      </w:r>
    </w:p>
    <w:p>
      <w:pPr>
        <w:spacing w:after="0" w:line="6" w:lineRule="exact"/>
        <w:rPr>
          <w:rFonts w:ascii="Arial" w:cs="Arial" w:eastAsia="Arial" w:hAnsi="Arial"/>
          <w:sz w:val="16"/>
          <w:szCs w:val="16"/>
          <w:color w:val="auto"/>
        </w:rPr>
      </w:pPr>
    </w:p>
    <w:p>
      <w:pPr>
        <w:ind w:left="320" w:right="279" w:hanging="190"/>
        <w:spacing w:after="0" w:line="304" w:lineRule="auto"/>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the recommending shareholder has been a beneficial holder of more than 5% of the Company’s stock for more than a year, then it must consent to additional public disclosures by the Company with regard to the nomination.</w:t>
      </w:r>
    </w:p>
    <w:p>
      <w:pPr>
        <w:spacing w:after="0" w:line="114" w:lineRule="exact"/>
        <w:rPr>
          <w:sz w:val="20"/>
          <w:szCs w:val="20"/>
          <w:color w:val="auto"/>
        </w:rPr>
      </w:pPr>
    </w:p>
    <w:p>
      <w:pPr>
        <w:jc w:val="both"/>
        <w:ind w:left="140" w:right="319"/>
        <w:spacing w:after="0" w:line="277" w:lineRule="auto"/>
        <w:rPr>
          <w:sz w:val="20"/>
          <w:szCs w:val="20"/>
          <w:color w:val="auto"/>
        </w:rPr>
      </w:pPr>
      <w:r>
        <w:rPr>
          <w:rFonts w:ascii="Arial" w:cs="Arial" w:eastAsia="Arial" w:hAnsi="Arial"/>
          <w:sz w:val="16"/>
          <w:szCs w:val="16"/>
          <w:color w:val="auto"/>
        </w:rPr>
        <w:t>The Corporate Secretary will promptly forward complying nominee recommendation submissions to the Chair of the Corporate Governance, Nominating and Sustainability Committee. The Corporate Governance, Nominating and Sustainability Committee will apply the same criteria in evaluating candidates nominated by shareholders as in evaluating candidates recommended by other sources.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95</w:t>
      </w:r>
    </w:p>
    <w:p>
      <w:pPr>
        <w:sectPr>
          <w:pgSz w:w="11900" w:h="16838" w:orient="portrait"/>
          <w:cols w:equalWidth="0" w:num="1">
            <w:col w:w="9019"/>
          </w:cols>
          <w:pgMar w:left="1440" w:top="1440" w:right="1440" w:bottom="1440" w:gutter="0" w:footer="0" w:header="0"/>
          <w:type w:val="continuous"/>
        </w:sectPr>
      </w:pPr>
    </w:p>
    <w:bookmarkStart w:id="98" w:name="page99"/>
    <w:bookmarkEnd w:id="98"/>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Shareholder Nominations for Board Membership and Other Proposals</w:t>
      </w:r>
    </w:p>
    <w:p>
      <w:pPr>
        <w:spacing w:after="0" w:line="200" w:lineRule="exact"/>
        <w:rPr>
          <w:sz w:val="20"/>
          <w:szCs w:val="20"/>
          <w:color w:val="auto"/>
        </w:rPr>
      </w:pPr>
    </w:p>
    <w:p>
      <w:pPr>
        <w:spacing w:after="0" w:line="215" w:lineRule="exact"/>
        <w:rPr>
          <w:sz w:val="20"/>
          <w:szCs w:val="20"/>
          <w:color w:val="auto"/>
        </w:rPr>
      </w:pPr>
    </w:p>
    <w:p>
      <w:pPr>
        <w:ind w:left="140" w:right="159"/>
        <w:spacing w:after="0" w:line="258" w:lineRule="auto"/>
        <w:rPr>
          <w:sz w:val="20"/>
          <w:szCs w:val="20"/>
          <w:color w:val="auto"/>
        </w:rPr>
      </w:pPr>
      <w:r>
        <w:rPr>
          <w:rFonts w:ascii="Arial" w:cs="Arial" w:eastAsia="Arial" w:hAnsi="Arial"/>
          <w:sz w:val="16"/>
          <w:szCs w:val="16"/>
          <w:color w:val="auto"/>
        </w:rPr>
        <w:t>In addition, nominations of individuals for election to our Board at any meeting of shareholders at which directors are to be elected may be made by any of our shareholders entitled to vote for the election at that meeting by complying with the procedures set forth in Section 1.12 or Section 2.12 of our Bylaws. Section 2.12 sets the Proxy Access rights of our shareholders. It provides that a shareholder, or a group of up to twenty (20) shareholders, who have held at least 3% of the total outstanding shares of the Company continuously for three years or more may nominate and include in our proxy materials up to the greater of two (2) directors or twenty percent (20%) of the current Board, provided that the shareholder(s) and the nominee(s) satisfy the requirements specified in Section 2.12. For information regarding the deadlines for submitting nomination notices pursuant to Section 1.12 or Section 2.12 of our Bylaws, see “Shareholder Nominations for Board Membership and Other Proposals” on page 95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0"/>
        <w:spacing w:after="0"/>
        <w:rPr>
          <w:sz w:val="20"/>
          <w:szCs w:val="20"/>
          <w:color w:val="auto"/>
        </w:rPr>
      </w:pPr>
      <w:r>
        <w:rPr>
          <w:rFonts w:ascii="Arial" w:cs="Arial" w:eastAsia="Arial" w:hAnsi="Arial"/>
          <w:sz w:val="54"/>
          <w:szCs w:val="54"/>
          <w:color w:val="431C5B"/>
        </w:rPr>
        <w:t>Other Matters</w:t>
      </w:r>
    </w:p>
    <w:p>
      <w:pPr>
        <w:spacing w:after="0" w:line="245" w:lineRule="exact"/>
        <w:rPr>
          <w:sz w:val="20"/>
          <w:szCs w:val="20"/>
          <w:color w:val="auto"/>
        </w:rPr>
      </w:pPr>
    </w:p>
    <w:p>
      <w:pPr>
        <w:ind w:left="140" w:right="179"/>
        <w:spacing w:after="0" w:line="265" w:lineRule="auto"/>
        <w:rPr>
          <w:sz w:val="20"/>
          <w:szCs w:val="20"/>
          <w:color w:val="auto"/>
        </w:rPr>
      </w:pPr>
      <w:r>
        <w:rPr>
          <w:rFonts w:ascii="Arial" w:cs="Arial" w:eastAsia="Arial" w:hAnsi="Arial"/>
          <w:sz w:val="16"/>
          <w:szCs w:val="16"/>
          <w:color w:val="auto"/>
        </w:rPr>
        <w:t>The Company knows of no other matters to be submitted at the meeting. If any other matters properly come before the meeting, the enclosed proxy card confers discretionary authority on the persons named in the enclosed proxy card to vote as they deem appropriate on such matters. It is the intention of the persons named in the enclosed proxy card to vote the shares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0"/>
        <w:spacing w:after="0"/>
        <w:rPr>
          <w:sz w:val="20"/>
          <w:szCs w:val="20"/>
          <w:color w:val="auto"/>
        </w:rPr>
      </w:pPr>
      <w:r>
        <w:rPr>
          <w:rFonts w:ascii="Arial" w:cs="Arial" w:eastAsia="Arial" w:hAnsi="Arial"/>
          <w:sz w:val="54"/>
          <w:szCs w:val="54"/>
          <w:color w:val="431C5B"/>
        </w:rPr>
        <w:t>Available Information</w:t>
      </w:r>
    </w:p>
    <w:p>
      <w:pPr>
        <w:spacing w:after="0" w:line="245" w:lineRule="exact"/>
        <w:rPr>
          <w:sz w:val="20"/>
          <w:szCs w:val="20"/>
          <w:color w:val="auto"/>
        </w:rPr>
      </w:pPr>
    </w:p>
    <w:p>
      <w:pPr>
        <w:ind w:left="140" w:right="159"/>
        <w:spacing w:after="0" w:line="265" w:lineRule="auto"/>
        <w:rPr>
          <w:sz w:val="20"/>
          <w:szCs w:val="20"/>
          <w:color w:val="auto"/>
        </w:rPr>
      </w:pPr>
      <w:r>
        <w:rPr>
          <w:rFonts w:ascii="Arial" w:cs="Arial" w:eastAsia="Arial" w:hAnsi="Arial"/>
          <w:sz w:val="16"/>
          <w:szCs w:val="16"/>
          <w:color w:val="auto"/>
        </w:rPr>
        <w:t>The Company files Annual Reports on Form 10-K with the SEC. A copy of the Annual Report on Form 10-K for the fiscal year ended December 31, 2025 (except for certain exhibits thereto), including our audited financial statements, may be obtained, free of charge, upon written request by any shareholder to Fidelity National Information Services, Inc., 347 Riverside Avenue, Jacksonville, Florida 32202, Attention: Investor Relations. Copies of all exhibits to the Annual Report on Form 10-K are available upon a similar request, subject to reimbursing us for our expenses in supplying any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0"/>
        <w:spacing w:after="0"/>
        <w:rPr>
          <w:sz w:val="20"/>
          <w:szCs w:val="20"/>
          <w:color w:val="auto"/>
        </w:rPr>
      </w:pPr>
      <w:r>
        <w:rPr>
          <w:rFonts w:ascii="Arial" w:cs="Arial" w:eastAsia="Arial" w:hAnsi="Arial"/>
          <w:sz w:val="54"/>
          <w:szCs w:val="54"/>
          <w:color w:val="431C5B"/>
        </w:rPr>
        <w:t>Frequently Asked Questions</w:t>
      </w:r>
    </w:p>
    <w:p>
      <w:pPr>
        <w:spacing w:after="0" w:line="24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Your shares can be voted at the annual meeting only if you vote by proxy or if you are present and vote online at the meeting.</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Even if you expect to attend the annual meeting, please vote by proxy to ensure that your shares will be represented.</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Why Did I Receive these Materials?</w:t>
      </w:r>
    </w:p>
    <w:p>
      <w:pPr>
        <w:spacing w:after="0" w:line="56" w:lineRule="exact"/>
        <w:rPr>
          <w:sz w:val="20"/>
          <w:szCs w:val="20"/>
          <w:color w:val="auto"/>
        </w:rPr>
      </w:pPr>
    </w:p>
    <w:p>
      <w:pPr>
        <w:ind w:left="140" w:right="159"/>
        <w:spacing w:after="0" w:line="260" w:lineRule="auto"/>
        <w:rPr>
          <w:sz w:val="20"/>
          <w:szCs w:val="20"/>
          <w:color w:val="auto"/>
        </w:rPr>
      </w:pPr>
      <w:r>
        <w:rPr>
          <w:rFonts w:ascii="Arial" w:cs="Arial" w:eastAsia="Arial" w:hAnsi="Arial"/>
          <w:sz w:val="16"/>
          <w:szCs w:val="16"/>
          <w:color w:val="auto"/>
        </w:rPr>
        <w:t>We are providing you with a Notice of Internet Availability of Proxy Materials and access to these proxy materials, which include this proxy statement, a proxy card, and our Annual Report on Form 10-K for the year ended December 31, 2025, because you were a shareholder of the Company at the close of business on April 13, 2026 (the “record date”); therefore, you are entitled to vote at the annual meeting. This proxy statement contains information about the matters to be voted on at the annual meeting and the voting process, as well as information about the Company’s directors and executive officers.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620" w:hanging="429"/>
        <w:spacing w:after="0"/>
        <w:tabs>
          <w:tab w:leader="none" w:pos="620" w:val="left"/>
        </w:tabs>
        <w:numPr>
          <w:ilvl w:val="0"/>
          <w:numId w:val="137"/>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99" w:name="page100"/>
    <w:bookmarkEnd w:id="99"/>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Frequently Asked Questions</w:t>
      </w:r>
    </w:p>
    <w:p>
      <w:pPr>
        <w:spacing w:after="0" w:line="385" w:lineRule="exact"/>
        <w:rPr>
          <w:sz w:val="20"/>
          <w:szCs w:val="20"/>
          <w:color w:val="auto"/>
        </w:rPr>
      </w:pPr>
    </w:p>
    <w:p>
      <w:pPr>
        <w:ind w:left="140" w:right="1059"/>
        <w:spacing w:after="0" w:line="266" w:lineRule="auto"/>
        <w:rPr>
          <w:sz w:val="20"/>
          <w:szCs w:val="20"/>
          <w:color w:val="auto"/>
        </w:rPr>
      </w:pPr>
      <w:r>
        <w:rPr>
          <w:rFonts w:ascii="Arial" w:cs="Arial" w:eastAsia="Arial" w:hAnsi="Arial"/>
          <w:sz w:val="32"/>
          <w:szCs w:val="32"/>
          <w:b w:val="1"/>
          <w:bCs w:val="1"/>
          <w:color w:val="431C5B"/>
        </w:rPr>
        <w:t>Why Did I Receive a One-Page Notice (the “E-Proxy Notice’’) in the Mail Regarding the Internet Availability of Proxy Materials, Instead of a Full Printed Set of Proxy Materials?</w:t>
      </w:r>
    </w:p>
    <w:p>
      <w:pPr>
        <w:spacing w:after="0" w:line="5" w:lineRule="exact"/>
        <w:rPr>
          <w:sz w:val="20"/>
          <w:szCs w:val="20"/>
          <w:color w:val="auto"/>
        </w:rPr>
      </w:pPr>
    </w:p>
    <w:p>
      <w:pPr>
        <w:ind w:left="140" w:right="159"/>
        <w:spacing w:after="0" w:line="282" w:lineRule="auto"/>
        <w:rPr>
          <w:sz w:val="20"/>
          <w:szCs w:val="20"/>
          <w:color w:val="auto"/>
        </w:rPr>
      </w:pPr>
      <w:r>
        <w:rPr>
          <w:rFonts w:ascii="Arial" w:cs="Arial" w:eastAsia="Arial" w:hAnsi="Arial"/>
          <w:sz w:val="16"/>
          <w:szCs w:val="16"/>
          <w:color w:val="auto"/>
        </w:rPr>
        <w:t xml:space="preserve">As permitted by SEC rules, instead of mailing a printed copy of our proxy materials to each shareholder of record, we generally furnish proxy materials via the Internet. Unless you have previously signed up to receive your materials in paper, you will receive a document entitled </w:t>
      </w:r>
      <w:r>
        <w:rPr>
          <w:rFonts w:ascii="Arial" w:cs="Arial" w:eastAsia="Arial" w:hAnsi="Arial"/>
          <w:sz w:val="16"/>
          <w:szCs w:val="16"/>
          <w:i w:val="1"/>
          <w:iCs w:val="1"/>
          <w:color w:val="auto"/>
        </w:rPr>
        <w:t>Notice of Internet Availability of Proxy Materials</w:t>
      </w:r>
      <w:r>
        <w:rPr>
          <w:rFonts w:ascii="Arial" w:cs="Arial" w:eastAsia="Arial" w:hAnsi="Arial"/>
          <w:sz w:val="16"/>
          <w:szCs w:val="16"/>
          <w:color w:val="auto"/>
        </w:rPr>
        <w:t xml:space="preserve"> (the “E-Proxy Notice”) and will not receive a printed copy of the proxy materials or the annual report to shareholders, unless you specifically request them. The E-Proxy Notice will instruct you as to how you may access and review all of the important information contained in the proxy materials, including our annual report to shareholders, online.</w:t>
      </w:r>
    </w:p>
    <w:p>
      <w:pPr>
        <w:spacing w:after="0" w:line="134" w:lineRule="exact"/>
        <w:rPr>
          <w:sz w:val="20"/>
          <w:szCs w:val="20"/>
          <w:color w:val="auto"/>
        </w:rPr>
      </w:pPr>
    </w:p>
    <w:p>
      <w:pPr>
        <w:ind w:left="140" w:right="199"/>
        <w:spacing w:after="0" w:line="282" w:lineRule="auto"/>
        <w:rPr>
          <w:sz w:val="20"/>
          <w:szCs w:val="20"/>
          <w:color w:val="auto"/>
        </w:rPr>
      </w:pPr>
      <w:r>
        <w:rPr>
          <w:rFonts w:ascii="Arial" w:cs="Arial" w:eastAsia="Arial" w:hAnsi="Arial"/>
          <w:sz w:val="16"/>
          <w:szCs w:val="16"/>
          <w:color w:val="auto"/>
        </w:rPr>
        <w:t>Instructions for requesting printed proxy materials are included in the E-Proxy Notice. E-Proxy Notices are distributed by mail, unless you previously signed up to receive your proxy materials electronically, in which case it will be sent to the last email address you provided to us. If you previously notified us of your election to receive all proxy materials in printed format, then we will send you a full set of printed proxy materials, including our annual report to shareholders, rather than an E-Proxy Notice. E-Proxy Notices or full sets of printed proxy materials will be distributed on or about April 28, 2026</w:t>
      </w:r>
    </w:p>
    <w:p>
      <w:pPr>
        <w:spacing w:after="0" w:line="134" w:lineRule="exact"/>
        <w:rPr>
          <w:sz w:val="20"/>
          <w:szCs w:val="20"/>
          <w:color w:val="auto"/>
        </w:rPr>
      </w:pPr>
    </w:p>
    <w:p>
      <w:pPr>
        <w:ind w:left="140" w:right="159"/>
        <w:spacing w:after="0" w:line="320" w:lineRule="auto"/>
        <w:rPr>
          <w:sz w:val="20"/>
          <w:szCs w:val="20"/>
          <w:color w:val="auto"/>
        </w:rPr>
      </w:pPr>
      <w:r>
        <w:rPr>
          <w:rFonts w:ascii="Arial" w:cs="Arial" w:eastAsia="Arial" w:hAnsi="Arial"/>
          <w:sz w:val="15"/>
          <w:szCs w:val="15"/>
          <w:color w:val="auto"/>
        </w:rPr>
        <w:t xml:space="preserve">If you previously elected to receive your proxy materials in printed format, but would like to receive an E-Proxy Notice and use the Internet to access proxy materials in the future, please visit </w:t>
      </w:r>
      <w:r>
        <w:rPr>
          <w:rFonts w:ascii="Arial" w:cs="Arial" w:eastAsia="Arial" w:hAnsi="Arial"/>
          <w:sz w:val="15"/>
          <w:szCs w:val="15"/>
          <w:b w:val="1"/>
          <w:bCs w:val="1"/>
          <w:color w:val="431C5B"/>
        </w:rPr>
        <w:t>www.proxyvote.com</w:t>
      </w:r>
      <w:r>
        <w:rPr>
          <w:rFonts w:ascii="Arial" w:cs="Arial" w:eastAsia="Arial" w:hAnsi="Arial"/>
          <w:sz w:val="15"/>
          <w:szCs w:val="15"/>
          <w:color w:val="auto"/>
        </w:rPr>
        <w:t xml:space="preserve"> and click on “Delivery Settings.” This would significantly reduce our printing and postage costs and eliminate bulky paper documents from your personal files.</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Who is Entitled to Vote?</w:t>
      </w:r>
    </w:p>
    <w:p>
      <w:pPr>
        <w:spacing w:after="0" w:line="94" w:lineRule="exact"/>
        <w:rPr>
          <w:sz w:val="20"/>
          <w:szCs w:val="20"/>
          <w:color w:val="auto"/>
        </w:rPr>
      </w:pPr>
    </w:p>
    <w:p>
      <w:pPr>
        <w:ind w:left="140" w:right="459"/>
        <w:spacing w:after="0" w:line="301" w:lineRule="auto"/>
        <w:rPr>
          <w:sz w:val="20"/>
          <w:szCs w:val="20"/>
          <w:color w:val="auto"/>
        </w:rPr>
      </w:pPr>
      <w:r>
        <w:rPr>
          <w:rFonts w:ascii="Arial" w:cs="Arial" w:eastAsia="Arial" w:hAnsi="Arial"/>
          <w:sz w:val="16"/>
          <w:szCs w:val="16"/>
          <w:color w:val="auto"/>
        </w:rPr>
        <w:t>All record holders of FIS common stock as of the close of business on April 13, 2026, are entitled to vote. On that day, 516,869,179 shares were issued, outstanding and eligible to vote. Each share is entitled to one vote on each matter presented at the annual meeting.</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What Shares are Covered by the Proxy Card?</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proxy card covers all shares held by you of record, that is, all shares registered in your name.</w:t>
      </w:r>
    </w:p>
    <w:p>
      <w:pPr>
        <w:spacing w:after="0" w:line="218" w:lineRule="exact"/>
        <w:rPr>
          <w:sz w:val="20"/>
          <w:szCs w:val="20"/>
          <w:color w:val="auto"/>
        </w:rPr>
      </w:pPr>
    </w:p>
    <w:p>
      <w:pPr>
        <w:ind w:left="140" w:right="499"/>
        <w:spacing w:after="0" w:line="278" w:lineRule="auto"/>
        <w:rPr>
          <w:sz w:val="20"/>
          <w:szCs w:val="20"/>
          <w:color w:val="auto"/>
        </w:rPr>
      </w:pPr>
      <w:r>
        <w:rPr>
          <w:rFonts w:ascii="Arial" w:cs="Arial" w:eastAsia="Arial" w:hAnsi="Arial"/>
          <w:sz w:val="32"/>
          <w:szCs w:val="32"/>
          <w:b w:val="1"/>
          <w:bCs w:val="1"/>
          <w:color w:val="431C5B"/>
        </w:rPr>
        <w:t>What if I Am A Beneficial Holder Rather than an Owner of Record?</w:t>
      </w:r>
    </w:p>
    <w:p>
      <w:pPr>
        <w:spacing w:after="0" w:line="1" w:lineRule="exact"/>
        <w:rPr>
          <w:sz w:val="20"/>
          <w:szCs w:val="20"/>
          <w:color w:val="auto"/>
        </w:rPr>
      </w:pPr>
    </w:p>
    <w:p>
      <w:pPr>
        <w:ind w:left="140" w:right="239"/>
        <w:spacing w:after="0" w:line="321" w:lineRule="auto"/>
        <w:rPr>
          <w:sz w:val="20"/>
          <w:szCs w:val="20"/>
          <w:color w:val="auto"/>
        </w:rPr>
      </w:pPr>
      <w:r>
        <w:rPr>
          <w:rFonts w:ascii="Arial" w:cs="Arial" w:eastAsia="Arial" w:hAnsi="Arial"/>
          <w:sz w:val="16"/>
          <w:szCs w:val="16"/>
          <w:color w:val="auto"/>
        </w:rPr>
        <w:t>If you hold your shares through a broker, bank, or other nominee, you will receive separate instructions from the nominee describing how to vote your shares.</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How Do I Participate in the Virtual Annual Meeting?</w:t>
      </w:r>
    </w:p>
    <w:p>
      <w:pPr>
        <w:spacing w:after="0" w:line="107" w:lineRule="exact"/>
        <w:rPr>
          <w:sz w:val="20"/>
          <w:szCs w:val="20"/>
          <w:color w:val="auto"/>
        </w:rPr>
      </w:pPr>
    </w:p>
    <w:p>
      <w:pPr>
        <w:ind w:left="140" w:right="199"/>
        <w:spacing w:after="0" w:line="282" w:lineRule="auto"/>
        <w:rPr>
          <w:sz w:val="20"/>
          <w:szCs w:val="20"/>
          <w:color w:val="auto"/>
        </w:rPr>
      </w:pPr>
      <w:r>
        <w:rPr>
          <w:rFonts w:ascii="Arial" w:cs="Arial" w:eastAsia="Arial" w:hAnsi="Arial"/>
          <w:sz w:val="16"/>
          <w:szCs w:val="16"/>
          <w:color w:val="auto"/>
        </w:rPr>
        <w:t xml:space="preserve">To participate in the Annual Meeting, visit the following website: </w:t>
      </w:r>
      <w:r>
        <w:rPr>
          <w:rFonts w:ascii="Arial" w:cs="Arial" w:eastAsia="Arial" w:hAnsi="Arial"/>
          <w:sz w:val="16"/>
          <w:szCs w:val="16"/>
          <w:b w:val="1"/>
          <w:bCs w:val="1"/>
          <w:color w:val="431C5B"/>
        </w:rPr>
        <w:t>www.virtualshareholdermeeting.com/FIS2026</w:t>
      </w:r>
      <w:r>
        <w:rPr>
          <w:rFonts w:ascii="Arial" w:cs="Arial" w:eastAsia="Arial" w:hAnsi="Arial"/>
          <w:sz w:val="16"/>
          <w:szCs w:val="16"/>
          <w:color w:val="auto"/>
        </w:rPr>
        <w:t>. You will need the 16-digit control number included on the E-Proxy Notice, proxy card or voting instruction form, as applicable. The annual meeting will begin promptly at 10:00 a.m. (ET). Online check-in will begin at 9:45 a.m. (ET). Please allow ample time for the online check-in procedures. If you have difficulty accessing the virtual annual meeting, please call the technical support number that will be posted on the virtual annual meeting log-in page for assistance.</w:t>
      </w:r>
    </w:p>
    <w:p>
      <w:pPr>
        <w:spacing w:after="0" w:line="121" w:lineRule="exact"/>
        <w:rPr>
          <w:sz w:val="20"/>
          <w:szCs w:val="20"/>
          <w:color w:val="auto"/>
        </w:rPr>
      </w:pPr>
    </w:p>
    <w:p>
      <w:pPr>
        <w:ind w:left="140" w:right="419"/>
        <w:spacing w:after="0" w:line="283" w:lineRule="auto"/>
        <w:rPr>
          <w:sz w:val="20"/>
          <w:szCs w:val="20"/>
          <w:color w:val="auto"/>
        </w:rPr>
      </w:pPr>
      <w:r>
        <w:rPr>
          <w:rFonts w:ascii="Arial" w:cs="Arial" w:eastAsia="Arial" w:hAnsi="Arial"/>
          <w:sz w:val="16"/>
          <w:szCs w:val="16"/>
          <w:color w:val="auto"/>
        </w:rPr>
        <w:t>This year’s shareholders question and answer session will include questions submitted live during the annual meeting. Questions may be submitted during the annual meeting by following the instructions available on the virtual meeting website. We expect to respond to questions during the annual meeting and may also respond to questions on an individual basis or by posting answers on our Investor Relations website after the meeting.</w:t>
      </w:r>
    </w:p>
    <w:p>
      <w:pPr>
        <w:spacing w:after="0" w:line="118" w:lineRule="exact"/>
        <w:rPr>
          <w:sz w:val="20"/>
          <w:szCs w:val="20"/>
          <w:color w:val="auto"/>
        </w:rPr>
      </w:pPr>
    </w:p>
    <w:p>
      <w:pPr>
        <w:ind w:left="140" w:right="199"/>
        <w:spacing w:after="0" w:line="292" w:lineRule="auto"/>
        <w:rPr>
          <w:sz w:val="20"/>
          <w:szCs w:val="20"/>
          <w:color w:val="auto"/>
        </w:rPr>
      </w:pPr>
      <w:r>
        <w:rPr>
          <w:rFonts w:ascii="Arial" w:cs="Arial" w:eastAsia="Arial" w:hAnsi="Arial"/>
          <w:sz w:val="16"/>
          <w:szCs w:val="16"/>
          <w:color w:val="auto"/>
        </w:rPr>
        <w:t>Questions submitted must comply with the rules of conduct for the meeting, which will be available to shareholders on the virtual meeting website. We reserve the right to exclude questions regarding topics that are not pertinent to the meeting, the Company, or that are not compliant with the rules of conduct for the meeting.</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97</w:t>
      </w:r>
    </w:p>
    <w:p>
      <w:pPr>
        <w:sectPr>
          <w:pgSz w:w="11900" w:h="16838" w:orient="portrait"/>
          <w:cols w:equalWidth="0" w:num="1">
            <w:col w:w="9019"/>
          </w:cols>
          <w:pgMar w:left="1440" w:top="657" w:right="1440" w:bottom="1440" w:gutter="0" w:footer="0" w:header="0"/>
          <w:type w:val="continuous"/>
        </w:sectPr>
      </w:pPr>
    </w:p>
    <w:bookmarkStart w:id="100" w:name="page101"/>
    <w:bookmarkEnd w:id="100"/>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Frequently Asked Questions</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How Do I Vote?</w:t>
      </w:r>
    </w:p>
    <w:p>
      <w:pPr>
        <w:spacing w:after="0" w:line="107" w:lineRule="exact"/>
        <w:rPr>
          <w:sz w:val="20"/>
          <w:szCs w:val="20"/>
          <w:color w:val="auto"/>
        </w:rPr>
      </w:pPr>
    </w:p>
    <w:p>
      <w:pPr>
        <w:ind w:left="380" w:right="159" w:hanging="250"/>
        <w:spacing w:after="0" w:line="308" w:lineRule="auto"/>
        <w:tabs>
          <w:tab w:leader="none" w:pos="38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At the annual meeting</w:t>
      </w:r>
      <w:r>
        <w:rPr>
          <w:rFonts w:ascii="Arial" w:cs="Arial" w:eastAsia="Arial" w:hAnsi="Arial"/>
          <w:sz w:val="16"/>
          <w:szCs w:val="16"/>
          <w:color w:val="auto"/>
        </w:rPr>
        <w:t>. You may vote your shares electronically during the virtual annual meeting, whether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shareholder of record or a beneficial owner, by visiting the website </w:t>
      </w:r>
      <w:r>
        <w:rPr>
          <w:rFonts w:ascii="Arial" w:cs="Arial" w:eastAsia="Arial" w:hAnsi="Arial"/>
          <w:sz w:val="16"/>
          <w:szCs w:val="16"/>
          <w:b w:val="1"/>
          <w:bCs w:val="1"/>
          <w:color w:val="431C5B"/>
        </w:rPr>
        <w:t>www.virtualshareholdermeeting.com/FIS2026</w:t>
      </w:r>
      <w:r>
        <w:rPr>
          <w:rFonts w:ascii="Arial" w:cs="Arial" w:eastAsia="Arial" w:hAnsi="Arial"/>
          <w:sz w:val="16"/>
          <w:szCs w:val="16"/>
          <w:color w:val="auto"/>
        </w:rPr>
        <w:t>; or</w:t>
      </w:r>
    </w:p>
    <w:p>
      <w:pPr>
        <w:ind w:left="380" w:hanging="250"/>
        <w:spacing w:after="0"/>
        <w:tabs>
          <w:tab w:leader="none" w:pos="38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By proxy</w:t>
      </w:r>
      <w:r>
        <w:rPr>
          <w:rFonts w:ascii="Arial" w:cs="Arial" w:eastAsia="Arial" w:hAnsi="Arial"/>
          <w:sz w:val="16"/>
          <w:szCs w:val="16"/>
          <w:color w:val="auto"/>
        </w:rPr>
        <w:t>. There are three ways to vote by proxy:</w:t>
      </w:r>
    </w:p>
    <w:p>
      <w:pPr>
        <w:spacing w:after="0" w:line="86" w:lineRule="exact"/>
        <w:rPr>
          <w:rFonts w:ascii="Arial" w:cs="Arial" w:eastAsia="Arial" w:hAnsi="Arial"/>
          <w:sz w:val="16"/>
          <w:szCs w:val="16"/>
          <w:b w:val="1"/>
          <w:bCs w:val="1"/>
          <w:color w:val="auto"/>
        </w:rPr>
      </w:pPr>
    </w:p>
    <w:p>
      <w:pPr>
        <w:ind w:left="640" w:hanging="251"/>
        <w:spacing w:after="0"/>
        <w:tabs>
          <w:tab w:leader="none" w:pos="64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by internet, using a unique password printed on your proxy card and following the instructions on the proxy card;</w:t>
      </w:r>
    </w:p>
    <w:p>
      <w:pPr>
        <w:spacing w:after="0" w:line="72" w:lineRule="exact"/>
        <w:rPr>
          <w:rFonts w:ascii="Arial" w:cs="Arial" w:eastAsia="Arial" w:hAnsi="Arial"/>
          <w:sz w:val="16"/>
          <w:szCs w:val="16"/>
          <w:color w:val="auto"/>
        </w:rPr>
      </w:pPr>
    </w:p>
    <w:p>
      <w:pPr>
        <w:ind w:left="640" w:hanging="251"/>
        <w:spacing w:after="0"/>
        <w:tabs>
          <w:tab w:leader="none" w:pos="64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by mail, using the enclosed proxy card and return envelope; or</w:t>
      </w:r>
    </w:p>
    <w:p>
      <w:pPr>
        <w:spacing w:after="0" w:line="86" w:lineRule="exact"/>
        <w:rPr>
          <w:rFonts w:ascii="Arial" w:cs="Arial" w:eastAsia="Arial" w:hAnsi="Arial"/>
          <w:sz w:val="16"/>
          <w:szCs w:val="16"/>
          <w:color w:val="auto"/>
        </w:rPr>
      </w:pPr>
    </w:p>
    <w:p>
      <w:pPr>
        <w:ind w:left="640" w:right="879" w:hanging="251"/>
        <w:spacing w:after="0" w:line="304" w:lineRule="auto"/>
        <w:tabs>
          <w:tab w:leader="none" w:pos="64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by telephone, using the telephone number printed on the proxy card and following the instructions on the proxy card.</w:t>
      </w:r>
    </w:p>
    <w:p>
      <w:pPr>
        <w:spacing w:after="0" w:line="110" w:lineRule="exact"/>
        <w:rPr>
          <w:sz w:val="20"/>
          <w:szCs w:val="20"/>
          <w:color w:val="auto"/>
        </w:rPr>
      </w:pPr>
    </w:p>
    <w:p>
      <w:pPr>
        <w:ind w:left="140" w:right="279"/>
        <w:spacing w:after="0" w:line="312" w:lineRule="auto"/>
        <w:rPr>
          <w:sz w:val="20"/>
          <w:szCs w:val="20"/>
          <w:color w:val="auto"/>
        </w:rPr>
      </w:pPr>
      <w:r>
        <w:rPr>
          <w:rFonts w:ascii="Arial" w:cs="Arial" w:eastAsia="Arial" w:hAnsi="Arial"/>
          <w:sz w:val="18"/>
          <w:szCs w:val="18"/>
          <w:b w:val="1"/>
          <w:bCs w:val="1"/>
          <w:color w:val="431C5B"/>
        </w:rPr>
        <w:t>Even if you expect to attend the annual meeting, please vote by proxy to ensure that your shares will be represented.</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What Does it Mean to Vote By Proxy?</w:t>
      </w:r>
    </w:p>
    <w:p>
      <w:pPr>
        <w:spacing w:after="0" w:line="94"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It means that you authorize someone else to vote your shares in accordance with your instructions. In this case, we are asking you to give your proxy to our Chief Executive Officer, Chief Financial Officer and Corporate Secretary, who are sometimes referred to as the “proxy holders.” By giving your proxy to the proxy holders, you assure that your vote will be counted even if you are unable to attend the annual meeting. If you give your proxy but do not include specific instructions on how to vote on a particular proposal described in this proxy statement, the proxy holders will vote your shares in accordance with the recommendation of the Board for such proposal.</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31"/>
          <w:szCs w:val="31"/>
          <w:b w:val="1"/>
          <w:bCs w:val="1"/>
          <w:color w:val="431C5B"/>
        </w:rPr>
        <w:t>What Happens if Other Matters are Raised at the Meeting?</w:t>
      </w:r>
    </w:p>
    <w:p>
      <w:pPr>
        <w:spacing w:after="0" w:line="119" w:lineRule="exact"/>
        <w:rPr>
          <w:sz w:val="20"/>
          <w:szCs w:val="20"/>
          <w:color w:val="auto"/>
        </w:rPr>
      </w:pPr>
    </w:p>
    <w:p>
      <w:pPr>
        <w:ind w:left="140" w:right="199"/>
        <w:spacing w:after="0" w:line="292" w:lineRule="auto"/>
        <w:rPr>
          <w:sz w:val="20"/>
          <w:szCs w:val="20"/>
          <w:color w:val="auto"/>
        </w:rPr>
      </w:pPr>
      <w:r>
        <w:rPr>
          <w:rFonts w:ascii="Arial" w:cs="Arial" w:eastAsia="Arial" w:hAnsi="Arial"/>
          <w:sz w:val="16"/>
          <w:szCs w:val="16"/>
          <w:color w:val="auto"/>
        </w:rPr>
        <w:t>Although we are not aware of any matters to be presented at the annual meeting other than those contained in the Notice of Annual Meeting, if other matters are properly raised at the meeting in accordance with the procedures specified in the corporate Bylaws, all proxies given to the proxy holders will be voted in accordance with their best judgment.</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What If I Submit a Proxy And Later Change My Mind?</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If you submit your proxy and later wish to revoke it, you may do so by doing one of the following:</w:t>
      </w:r>
    </w:p>
    <w:p>
      <w:pPr>
        <w:spacing w:after="0" w:line="194" w:lineRule="exact"/>
        <w:rPr>
          <w:sz w:val="20"/>
          <w:szCs w:val="20"/>
          <w:color w:val="auto"/>
        </w:rPr>
      </w:pPr>
    </w:p>
    <w:p>
      <w:pPr>
        <w:ind w:left="380" w:hanging="250"/>
        <w:spacing w:after="0"/>
        <w:tabs>
          <w:tab w:leader="none" w:pos="3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giving written notice to the Corporate Secretary prior to the virtual annual meeting;</w:t>
      </w:r>
    </w:p>
    <w:p>
      <w:pPr>
        <w:spacing w:after="0" w:line="86" w:lineRule="exact"/>
        <w:rPr>
          <w:rFonts w:ascii="Arial" w:cs="Arial" w:eastAsia="Arial" w:hAnsi="Arial"/>
          <w:sz w:val="16"/>
          <w:szCs w:val="16"/>
          <w:color w:val="auto"/>
        </w:rPr>
      </w:pPr>
    </w:p>
    <w:p>
      <w:pPr>
        <w:ind w:left="380" w:right="919" w:hanging="250"/>
        <w:spacing w:after="0" w:line="304" w:lineRule="auto"/>
        <w:tabs>
          <w:tab w:leader="none" w:pos="3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timely submitting another proxy bearing a later date (in any of the permitted forms) prior to the virtual annual meeting; or</w:t>
      </w:r>
    </w:p>
    <w:p>
      <w:pPr>
        <w:spacing w:after="0" w:line="6" w:lineRule="exact"/>
        <w:rPr>
          <w:rFonts w:ascii="Arial" w:cs="Arial" w:eastAsia="Arial" w:hAnsi="Arial"/>
          <w:sz w:val="16"/>
          <w:szCs w:val="16"/>
          <w:color w:val="auto"/>
        </w:rPr>
      </w:pPr>
    </w:p>
    <w:p>
      <w:pPr>
        <w:ind w:left="380" w:hanging="250"/>
        <w:spacing w:after="0"/>
        <w:tabs>
          <w:tab w:leader="none" w:pos="3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logging in and casting a ballot at the virtual annual meeting.</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Who Will Count the Votes?</w:t>
      </w:r>
    </w:p>
    <w:p>
      <w:pPr>
        <w:spacing w:after="0" w:line="107" w:lineRule="exact"/>
        <w:rPr>
          <w:sz w:val="20"/>
          <w:szCs w:val="20"/>
          <w:color w:val="auto"/>
        </w:rPr>
      </w:pPr>
    </w:p>
    <w:p>
      <w:pPr>
        <w:ind w:left="140" w:right="359"/>
        <w:spacing w:after="0" w:line="321" w:lineRule="auto"/>
        <w:rPr>
          <w:sz w:val="20"/>
          <w:szCs w:val="20"/>
          <w:color w:val="auto"/>
        </w:rPr>
      </w:pPr>
      <w:r>
        <w:rPr>
          <w:rFonts w:ascii="Arial" w:cs="Arial" w:eastAsia="Arial" w:hAnsi="Arial"/>
          <w:sz w:val="16"/>
          <w:szCs w:val="16"/>
          <w:color w:val="auto"/>
        </w:rPr>
        <w:t>Broadridge Financial Solutions, Inc. will serve as proxy tabulator and count the votes, and the results will be certified by the inspector of election.</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431C5B"/>
        </w:rPr>
        <w:t>How Many Votes Must Each Proposal Receive to be Adopted?</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votes must be received:</w:t>
      </w:r>
    </w:p>
    <w:p>
      <w:pPr>
        <w:spacing w:after="0" w:line="194" w:lineRule="exact"/>
        <w:rPr>
          <w:sz w:val="20"/>
          <w:szCs w:val="20"/>
          <w:color w:val="auto"/>
        </w:rPr>
      </w:pPr>
    </w:p>
    <w:p>
      <w:pPr>
        <w:ind w:left="140" w:right="159"/>
        <w:spacing w:after="0" w:line="279" w:lineRule="auto"/>
        <w:rPr>
          <w:sz w:val="20"/>
          <w:szCs w:val="20"/>
          <w:color w:val="auto"/>
        </w:rPr>
      </w:pPr>
      <w:r>
        <w:rPr>
          <w:rFonts w:ascii="Arial" w:cs="Arial" w:eastAsia="Arial" w:hAnsi="Arial"/>
          <w:sz w:val="16"/>
          <w:szCs w:val="16"/>
          <w:b w:val="1"/>
          <w:bCs w:val="1"/>
          <w:color w:val="431C5B"/>
        </w:rPr>
        <w:t>For Proposal No. 1</w:t>
      </w:r>
      <w:r>
        <w:rPr>
          <w:rFonts w:ascii="Arial" w:cs="Arial" w:eastAsia="Arial" w:hAnsi="Arial"/>
          <w:sz w:val="16"/>
          <w:szCs w:val="16"/>
          <w:color w:val="000000"/>
        </w:rPr>
        <w:t>, regarding the election of directors, to be elected, each of the director nominees named in this proxy</w:t>
      </w:r>
      <w:r>
        <w:rPr>
          <w:rFonts w:ascii="Arial" w:cs="Arial" w:eastAsia="Arial" w:hAnsi="Arial"/>
          <w:sz w:val="16"/>
          <w:szCs w:val="16"/>
          <w:b w:val="1"/>
          <w:bCs w:val="1"/>
          <w:color w:val="431C5B"/>
        </w:rPr>
        <w:t xml:space="preserve"> </w:t>
      </w:r>
      <w:r>
        <w:rPr>
          <w:rFonts w:ascii="Arial" w:cs="Arial" w:eastAsia="Arial" w:hAnsi="Arial"/>
          <w:sz w:val="16"/>
          <w:szCs w:val="16"/>
          <w:color w:val="000000"/>
        </w:rPr>
        <w:t>statement must receive more votes cast “for” such nominee’s election than votes cast “against” such nominee’s election. If a nominee who currently is serving as a director does not receive the required vote for election or re-election, Georgia law provides that such director will continue to serve on the Board as a “holdover” director. However, pursuant to FIS’ Majority Voting Policy, in that situation, our Corporate Governance, Nominating and Sustainability Committee would promptly make a recommendation to the Board about whether to accept or reject the resignation of the “holdover” director and the Board would then take action on the recommendation no later than 180 days following the date of the election.</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20" w:hanging="429"/>
        <w:spacing w:after="0"/>
        <w:tabs>
          <w:tab w:leader="none" w:pos="620" w:val="left"/>
        </w:tabs>
        <w:numPr>
          <w:ilvl w:val="0"/>
          <w:numId w:val="140"/>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101" w:name="page102"/>
    <w:bookmarkEnd w:id="101"/>
    <w:p>
      <w:pPr>
        <w:ind w:left="692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Frequently Asked Questions</w:t>
      </w:r>
    </w:p>
    <w:p>
      <w:pPr>
        <w:spacing w:after="0" w:line="200" w:lineRule="exact"/>
        <w:rPr>
          <w:sz w:val="20"/>
          <w:szCs w:val="20"/>
          <w:color w:val="auto"/>
        </w:rPr>
      </w:pPr>
    </w:p>
    <w:p>
      <w:pPr>
        <w:spacing w:after="0" w:line="215" w:lineRule="exact"/>
        <w:rPr>
          <w:sz w:val="20"/>
          <w:szCs w:val="20"/>
          <w:color w:val="auto"/>
        </w:rPr>
      </w:pPr>
    </w:p>
    <w:p>
      <w:pPr>
        <w:ind w:left="140" w:right="199"/>
        <w:spacing w:after="0" w:line="284" w:lineRule="auto"/>
        <w:rPr>
          <w:sz w:val="20"/>
          <w:szCs w:val="20"/>
          <w:color w:val="auto"/>
        </w:rPr>
      </w:pPr>
      <w:r>
        <w:rPr>
          <w:rFonts w:ascii="Arial" w:cs="Arial" w:eastAsia="Arial" w:hAnsi="Arial"/>
          <w:sz w:val="16"/>
          <w:szCs w:val="16"/>
          <w:b w:val="1"/>
          <w:bCs w:val="1"/>
          <w:color w:val="431C5B"/>
        </w:rPr>
        <w:t>For Proposal No. 2</w:t>
      </w:r>
      <w:r>
        <w:rPr>
          <w:rFonts w:ascii="Arial" w:cs="Arial" w:eastAsia="Arial" w:hAnsi="Arial"/>
          <w:sz w:val="16"/>
          <w:szCs w:val="16"/>
          <w:color w:val="000000"/>
        </w:rPr>
        <w:t>, regarding a non-binding advisory vote on the compensation paid to our NEOs, under Georgia law,</w:t>
      </w:r>
      <w:r>
        <w:rPr>
          <w:rFonts w:ascii="Arial" w:cs="Arial" w:eastAsia="Arial" w:hAnsi="Arial"/>
          <w:sz w:val="16"/>
          <w:szCs w:val="16"/>
          <w:b w:val="1"/>
          <w:bCs w:val="1"/>
          <w:color w:val="431C5B"/>
        </w:rPr>
        <w:t xml:space="preserve"> </w:t>
      </w:r>
      <w:r>
        <w:rPr>
          <w:rFonts w:ascii="Arial" w:cs="Arial" w:eastAsia="Arial" w:hAnsi="Arial"/>
          <w:sz w:val="16"/>
          <w:szCs w:val="16"/>
          <w:color w:val="000000"/>
        </w:rPr>
        <w:t>the action will be approved (on a non-binding advisory basis) if a quorum exists and the shares present or represented by proxy and entitled to vote favoring the action exceed the shares present or represented by proxy opposing the action.</w:t>
      </w:r>
    </w:p>
    <w:p>
      <w:pPr>
        <w:spacing w:after="0" w:line="130" w:lineRule="exact"/>
        <w:rPr>
          <w:sz w:val="20"/>
          <w:szCs w:val="20"/>
          <w:color w:val="auto"/>
        </w:rPr>
      </w:pPr>
    </w:p>
    <w:p>
      <w:pPr>
        <w:ind w:left="140" w:right="299"/>
        <w:spacing w:after="0" w:line="284" w:lineRule="auto"/>
        <w:rPr>
          <w:sz w:val="20"/>
          <w:szCs w:val="20"/>
          <w:color w:val="auto"/>
        </w:rPr>
      </w:pPr>
      <w:r>
        <w:rPr>
          <w:rFonts w:ascii="Arial" w:cs="Arial" w:eastAsia="Arial" w:hAnsi="Arial"/>
          <w:sz w:val="16"/>
          <w:szCs w:val="16"/>
          <w:b w:val="1"/>
          <w:bCs w:val="1"/>
          <w:color w:val="431C5B"/>
        </w:rPr>
        <w:t>For Proposal No. 3</w:t>
      </w:r>
      <w:r>
        <w:rPr>
          <w:rFonts w:ascii="Arial" w:cs="Arial" w:eastAsia="Arial" w:hAnsi="Arial"/>
          <w:sz w:val="16"/>
          <w:szCs w:val="16"/>
          <w:color w:val="000000"/>
        </w:rPr>
        <w:t>, regarding the ratification of the appointment of KPMG LLP as our independent registered public</w:t>
      </w:r>
      <w:r>
        <w:rPr>
          <w:rFonts w:ascii="Arial" w:cs="Arial" w:eastAsia="Arial" w:hAnsi="Arial"/>
          <w:sz w:val="16"/>
          <w:szCs w:val="16"/>
          <w:b w:val="1"/>
          <w:bCs w:val="1"/>
          <w:color w:val="431C5B"/>
        </w:rPr>
        <w:t xml:space="preserve"> </w:t>
      </w:r>
      <w:r>
        <w:rPr>
          <w:rFonts w:ascii="Arial" w:cs="Arial" w:eastAsia="Arial" w:hAnsi="Arial"/>
          <w:sz w:val="16"/>
          <w:szCs w:val="16"/>
          <w:color w:val="000000"/>
        </w:rPr>
        <w:t>accounting firm, under Georgia law the action will be approved if a quorum exists and the shares present or represented by proxy and entitled to vote favoring the action exceed the shares present or represented by proxy opposing the action.</w:t>
      </w:r>
    </w:p>
    <w:p>
      <w:pPr>
        <w:spacing w:after="0" w:line="141"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What Constitutes a Quorum?</w:t>
      </w:r>
    </w:p>
    <w:p>
      <w:pPr>
        <w:spacing w:after="0" w:line="107" w:lineRule="exact"/>
        <w:rPr>
          <w:sz w:val="20"/>
          <w:szCs w:val="20"/>
          <w:color w:val="auto"/>
        </w:rPr>
      </w:pPr>
    </w:p>
    <w:p>
      <w:pPr>
        <w:ind w:left="140" w:right="339"/>
        <w:spacing w:after="0" w:line="292" w:lineRule="auto"/>
        <w:rPr>
          <w:sz w:val="20"/>
          <w:szCs w:val="20"/>
          <w:color w:val="auto"/>
        </w:rPr>
      </w:pPr>
      <w:r>
        <w:rPr>
          <w:rFonts w:ascii="Arial" w:cs="Arial" w:eastAsia="Arial" w:hAnsi="Arial"/>
          <w:sz w:val="16"/>
          <w:szCs w:val="16"/>
          <w:color w:val="auto"/>
        </w:rPr>
        <w:t>A quorum is present if a majority of the outstanding shares of common stock entitled to vote is represented at the virtual annual meeting either online or by proxy. Broker non-votes and abstentions are counted for purposes of determining whether a quorum is present.</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431C5B"/>
        </w:rPr>
        <w:t>What are Broker Non-Votes and What Effect Will They Have?</w:t>
      </w:r>
    </w:p>
    <w:p>
      <w:pPr>
        <w:spacing w:after="0" w:line="130" w:lineRule="exact"/>
        <w:rPr>
          <w:sz w:val="20"/>
          <w:szCs w:val="20"/>
          <w:color w:val="auto"/>
        </w:rPr>
      </w:pPr>
    </w:p>
    <w:p>
      <w:pPr>
        <w:ind w:left="140" w:right="139"/>
        <w:spacing w:after="0" w:line="279" w:lineRule="auto"/>
        <w:rPr>
          <w:sz w:val="20"/>
          <w:szCs w:val="20"/>
          <w:color w:val="auto"/>
        </w:rPr>
      </w:pPr>
      <w:r>
        <w:rPr>
          <w:rFonts w:ascii="Arial" w:cs="Arial" w:eastAsia="Arial" w:hAnsi="Arial"/>
          <w:sz w:val="16"/>
          <w:szCs w:val="16"/>
          <w:color w:val="auto"/>
        </w:rPr>
        <w:t>Broker non-votes occur when nominees, such as banks and brokers holding shares on behalf of beneficial owners, do not receive voting instructions from the beneficial holders at least ten days before the meeting. If that happens, the nominees may vote those shares only on matters deemed “routine” by the NYSE, such as the ratification of the appointment of the independent registered public accounting firm (Proposal No. 3). On non-routine matters, such as Proposals No. 1 and 2, nominees cannot vote unless they receive voting instructions from beneficial owners, resulting in so called “broker non-votes.” Accordingly, with respect to Proposals No. 1 and 2, broker non-votes will not affect the outcome of the vote. Please be sure to give specific voting instructions to your broker, so that your vote can be counted.</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What Effect Does an Abstention Have?</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With respect to each proposal, abstentions will not be included in vote totals and will not affect the outcome of the vote.</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Who Pays the Cost of Soliciting Proxies?</w:t>
      </w:r>
    </w:p>
    <w:p>
      <w:pPr>
        <w:spacing w:after="0" w:line="107" w:lineRule="exact"/>
        <w:rPr>
          <w:sz w:val="20"/>
          <w:szCs w:val="20"/>
          <w:color w:val="auto"/>
        </w:rPr>
      </w:pPr>
    </w:p>
    <w:p>
      <w:pPr>
        <w:ind w:left="140" w:right="139"/>
        <w:spacing w:after="0" w:line="279" w:lineRule="auto"/>
        <w:rPr>
          <w:sz w:val="20"/>
          <w:szCs w:val="20"/>
          <w:color w:val="auto"/>
        </w:rPr>
      </w:pPr>
      <w:r>
        <w:rPr>
          <w:rFonts w:ascii="Arial" w:cs="Arial" w:eastAsia="Arial" w:hAnsi="Arial"/>
          <w:sz w:val="16"/>
          <w:szCs w:val="16"/>
          <w:color w:val="auto"/>
        </w:rPr>
        <w:t>The Company pays the cost of the solicitation of proxies, including preparing and mailing the Notice of Annual Meeting of Shareholders, this proxy statement and the proxy card. Following the mailing of this proxy statement, directors, officers and employees of the Company may solicit proxies by telephone, email or other personal contact. Such persons will receive no additional compensation for such services. Brokerage houses and other nominees, fiduciaries and custodians who are holders of record of shares of common stock will be requested to forward proxy soliciting material to the beneficial owners of such shares and will be reimbursed by the Company for their charges and expenses in connection therewith at customary and reasonable rates. In addition, the Company has retained Georgeson LLC to assist in the solicitation of proxies for an estimated fee of $20,500, plus reimbursement of expenses.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What If I Share a Household with Another Shareholder?</w:t>
      </w:r>
    </w:p>
    <w:p>
      <w:pPr>
        <w:spacing w:after="0" w:line="107" w:lineRule="exact"/>
        <w:rPr>
          <w:sz w:val="20"/>
          <w:szCs w:val="20"/>
          <w:color w:val="auto"/>
        </w:rPr>
      </w:pPr>
    </w:p>
    <w:p>
      <w:pPr>
        <w:jc w:val="both"/>
        <w:ind w:left="140" w:right="159"/>
        <w:spacing w:after="0" w:line="283" w:lineRule="auto"/>
        <w:rPr>
          <w:sz w:val="20"/>
          <w:szCs w:val="20"/>
          <w:color w:val="auto"/>
        </w:rPr>
      </w:pPr>
      <w:r>
        <w:rPr>
          <w:rFonts w:ascii="Arial" w:cs="Arial" w:eastAsia="Arial" w:hAnsi="Arial"/>
          <w:sz w:val="16"/>
          <w:szCs w:val="16"/>
          <w:color w:val="auto"/>
        </w:rPr>
        <w:t>We have adopted a procedure approved by the SEC called “householding.” Under this procedure, shareholders of record who have the same address and last name and do not participate in electronic delivery of proxy materials will receive only one copy of our Annual Report and proxy statement unless one or more of these shareholders notifies us that they wish to continue receiving individual copies. This procedure will reduce our printing costs and postage fees.</w:t>
      </w:r>
    </w:p>
    <w:p>
      <w:pPr>
        <w:spacing w:after="0" w:line="131" w:lineRule="exact"/>
        <w:rPr>
          <w:sz w:val="20"/>
          <w:szCs w:val="20"/>
          <w:color w:val="auto"/>
        </w:rPr>
      </w:pPr>
    </w:p>
    <w:p>
      <w:pPr>
        <w:ind w:left="140" w:right="139"/>
        <w:spacing w:after="0" w:line="298" w:lineRule="auto"/>
        <w:rPr>
          <w:sz w:val="20"/>
          <w:szCs w:val="20"/>
          <w:color w:val="auto"/>
        </w:rPr>
      </w:pPr>
      <w:r>
        <w:rPr>
          <w:rFonts w:ascii="Arial" w:cs="Arial" w:eastAsia="Arial" w:hAnsi="Arial"/>
          <w:sz w:val="15"/>
          <w:szCs w:val="15"/>
          <w:color w:val="auto"/>
        </w:rPr>
        <w:t>Shareholders who participate in householding will continue to receive separate proxy cards. Also, householding will not in any way affect dividend check mailings. If you are eligible for householding, but you and other shareholders of record with whom you share an address currently receive multiple copies of our Annual Reports and/or proxy statements, or if you hold stock in more than one account, and in either case you wish to receive only a single copy of the Annual Report or proxy statement for your household, please contact our transfer agent, Computershare (in writing: P.O. Box 43006, Providence, RI 02940-3006; or by telephone: (800) 568-3476). If you participate in householding and wish to receive a separate copy of the 2025 Annual Report or this proxy statement, or if you do not wish to participate in householding and prefer to receive separate copies of future Annual Reports and/or proxy statements, please contact Computershare as indicated above. Beneficial shareholders can request information about householding from their banks, brokers or other holders of record. The Company hereby undertakes to deliver promptly upon written or oral request, a separate copy of the Annual Report to shareholders, or proxy statement, as applicable, to a Company shareholder at a shared address to which a single copy of the document was delivered.</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6960"/>
        <w:spacing w:after="0"/>
        <w:tabs>
          <w:tab w:leader="none" w:pos="866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99</w:t>
      </w:r>
    </w:p>
    <w:p>
      <w:pPr>
        <w:sectPr>
          <w:pgSz w:w="11900" w:h="16838" w:orient="portrait"/>
          <w:cols w:equalWidth="0" w:num="1">
            <w:col w:w="9019"/>
          </w:cols>
          <w:pgMar w:left="1440" w:top="657" w:right="1440" w:bottom="1440" w:gutter="0" w:footer="0" w:header="0"/>
          <w:type w:val="continuous"/>
        </w:sectPr>
      </w:pPr>
    </w:p>
    <w:bookmarkStart w:id="102" w:name="page103"/>
    <w:bookmarkEnd w:id="102"/>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Frequently Asked Questions</w:t>
      </w:r>
    </w:p>
    <w:p>
      <w:pPr>
        <w:spacing w:after="0" w:line="200" w:lineRule="exact"/>
        <w:rPr>
          <w:sz w:val="20"/>
          <w:szCs w:val="20"/>
          <w:color w:val="auto"/>
        </w:rPr>
      </w:pPr>
    </w:p>
    <w:p>
      <w:pPr>
        <w:spacing w:after="0" w:line="215" w:lineRule="exact"/>
        <w:rPr>
          <w:sz w:val="20"/>
          <w:szCs w:val="20"/>
          <w:color w:val="auto"/>
        </w:rPr>
      </w:pPr>
    </w:p>
    <w:p>
      <w:pPr>
        <w:ind w:left="140" w:right="479"/>
        <w:spacing w:after="0" w:line="298" w:lineRule="auto"/>
        <w:rPr>
          <w:sz w:val="20"/>
          <w:szCs w:val="20"/>
          <w:color w:val="auto"/>
        </w:rPr>
      </w:pPr>
      <w:r>
        <w:rPr>
          <w:rFonts w:ascii="Arial" w:cs="Arial" w:eastAsia="Arial" w:hAnsi="Arial"/>
          <w:sz w:val="16"/>
          <w:szCs w:val="16"/>
          <w:b w:val="1"/>
          <w:bCs w:val="1"/>
          <w:color w:val="auto"/>
        </w:rPr>
        <w:t xml:space="preserve">The Annual Report is also available on the Investor Relations page of our website at </w:t>
      </w:r>
      <w:r>
        <w:rPr>
          <w:rFonts w:ascii="Arial" w:cs="Arial" w:eastAsia="Arial" w:hAnsi="Arial"/>
          <w:sz w:val="16"/>
          <w:szCs w:val="16"/>
          <w:b w:val="1"/>
          <w:bCs w:val="1"/>
          <w:color w:val="431C5B"/>
        </w:rPr>
        <w:t>www.fisglobal.com</w:t>
      </w:r>
      <w:r>
        <w:rPr>
          <w:rFonts w:ascii="Arial" w:cs="Arial" w:eastAsia="Arial" w:hAnsi="Arial"/>
          <w:sz w:val="16"/>
          <w:szCs w:val="16"/>
          <w:b w:val="1"/>
          <w:bCs w:val="1"/>
          <w:color w:val="auto"/>
        </w:rPr>
        <w:t xml:space="preserve"> or on the SEC’s website at </w:t>
      </w:r>
      <w:r>
        <w:rPr>
          <w:rFonts w:ascii="Arial" w:cs="Arial" w:eastAsia="Arial" w:hAnsi="Arial"/>
          <w:sz w:val="16"/>
          <w:szCs w:val="16"/>
          <w:b w:val="1"/>
          <w:bCs w:val="1"/>
          <w:color w:val="431C5B"/>
        </w:rPr>
        <w:t>www.sec.gov/edgar</w:t>
      </w:r>
      <w:r>
        <w:rPr>
          <w:rFonts w:ascii="Arial" w:cs="Arial" w:eastAsia="Arial" w:hAnsi="Arial"/>
          <w:sz w:val="16"/>
          <w:szCs w:val="16"/>
          <w:b w:val="1"/>
          <w:bCs w:val="1"/>
          <w:color w:val="auto"/>
        </w:rPr>
        <w:t>. The content on our website does not constitute a part of this proxy statement.</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Forward-Looking Statements</w:t>
      </w:r>
    </w:p>
    <w:p>
      <w:pPr>
        <w:spacing w:after="0" w:line="107" w:lineRule="exact"/>
        <w:rPr>
          <w:sz w:val="20"/>
          <w:szCs w:val="20"/>
          <w:color w:val="auto"/>
        </w:rPr>
      </w:pPr>
    </w:p>
    <w:p>
      <w:pPr>
        <w:ind w:left="140" w:right="179"/>
        <w:spacing w:after="0" w:line="277" w:lineRule="auto"/>
        <w:rPr>
          <w:sz w:val="20"/>
          <w:szCs w:val="20"/>
          <w:color w:val="auto"/>
        </w:rPr>
      </w:pPr>
      <w:r>
        <w:rPr>
          <w:rFonts w:ascii="Arial" w:cs="Arial" w:eastAsia="Arial" w:hAnsi="Arial"/>
          <w:sz w:val="16"/>
          <w:szCs w:val="16"/>
          <w:color w:val="auto"/>
        </w:rPr>
        <w:t>This proxy statement contains “forward-looking statements” within the meaning of the U.S. federal securities laws. Statements that are not historical facts, as well as other statements about our expectations, beliefs, intentions, or strategies regarding the future, or other characterizations of future events or circumstances, are forward-looking statements. Forward-looking statements include statements about anticipated financial outcomes, including any earnings outlook or projections, projected revenue or expense synergies or dis-synergies, business and market conditions, outlook, foreign currency exchange rates, deleveraging plans, expected dividends and share repurchases of the Company, the Company's sales pipeline and anticipated profitability and growth, plans, strategies and objectives for future operations, strategic value creation, risk profile and investment strategies, any statements regarding future economic conditions or performance and any statements with respect to the future impacts of the recently completed acquisition of the Issuer Solutions Business, which has been rebranded as FIS Total Issuing Solutions. These statements may be identified by words such as "expect," "anticipate," "intend," "plan," "believe," "will," "should," "could," "would," "project," "continue," "likely," and similar expressions, and include statements reflecting future results or outlook, statements of outlook and various accruals and estimates. These statements relate to future events and our future results and involve a number of risks and uncertainties. Forward-looking statements are based on management’s beliefs as well as assumptions made by, and information currently available to, management.</w:t>
      </w:r>
    </w:p>
    <w:p>
      <w:pPr>
        <w:spacing w:after="0" w:line="136" w:lineRule="exact"/>
        <w:rPr>
          <w:sz w:val="20"/>
          <w:szCs w:val="20"/>
          <w:color w:val="auto"/>
        </w:rPr>
      </w:pPr>
    </w:p>
    <w:p>
      <w:pPr>
        <w:ind w:left="140" w:right="339"/>
        <w:spacing w:after="0" w:line="304" w:lineRule="auto"/>
        <w:rPr>
          <w:sz w:val="20"/>
          <w:szCs w:val="20"/>
          <w:color w:val="auto"/>
        </w:rPr>
      </w:pPr>
      <w:r>
        <w:rPr>
          <w:rFonts w:ascii="Arial" w:cs="Arial" w:eastAsia="Arial" w:hAnsi="Arial"/>
          <w:sz w:val="16"/>
          <w:szCs w:val="16"/>
          <w:color w:val="auto"/>
        </w:rPr>
        <w:t>Actual results, performance or achievement could differ materially from these forward-looking statements. The risks and uncertainties to which forward-looking statements are subject include the following, without limitation:</w:t>
      </w:r>
    </w:p>
    <w:p>
      <w:pPr>
        <w:spacing w:after="0" w:line="114" w:lineRule="exact"/>
        <w:rPr>
          <w:sz w:val="20"/>
          <w:szCs w:val="20"/>
          <w:color w:val="auto"/>
        </w:rPr>
      </w:pPr>
    </w:p>
    <w:p>
      <w:pPr>
        <w:ind w:left="320" w:right="179" w:hanging="190"/>
        <w:spacing w:after="0" w:line="292" w:lineRule="auto"/>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changes in general economic, business and political conditions, a recession, intensified or expanded international hostilities, acts of terrorism, fluctuation in rates of inflation or interest, effects of announced or future tariff increases and any resulting regulatory changes in global trade relations and changes in consumer or business confidence;</w:t>
      </w:r>
    </w:p>
    <w:p>
      <w:pPr>
        <w:spacing w:after="0" w:line="16" w:lineRule="exact"/>
        <w:rPr>
          <w:rFonts w:ascii="Arial" w:cs="Arial" w:eastAsia="Arial" w:hAnsi="Arial"/>
          <w:sz w:val="16"/>
          <w:szCs w:val="16"/>
          <w:color w:val="auto"/>
        </w:rPr>
      </w:pPr>
    </w:p>
    <w:p>
      <w:pPr>
        <w:ind w:left="320" w:right="1499" w:hanging="190"/>
        <w:spacing w:after="0" w:line="304" w:lineRule="auto"/>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changes in either or both the United States and international lending, capital and financial markets or currency fluctuations;</w:t>
      </w:r>
    </w:p>
    <w:p>
      <w:pPr>
        <w:spacing w:after="0" w:line="6" w:lineRule="exact"/>
        <w:rPr>
          <w:rFonts w:ascii="Arial" w:cs="Arial" w:eastAsia="Arial" w:hAnsi="Arial"/>
          <w:sz w:val="16"/>
          <w:szCs w:val="16"/>
          <w:color w:val="auto"/>
        </w:rPr>
      </w:pPr>
    </w:p>
    <w:p>
      <w:pPr>
        <w:ind w:left="320" w:right="419" w:hanging="190"/>
        <w:spacing w:after="0" w:line="292" w:lineRule="auto"/>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risk that acquired businesses, including FIS Total Issuing™ Solutions, will not be integrated successfully, will not provide the expected benefits, or that the integration will be more costly or more time-consuming and complex than anticipated;</w:t>
      </w:r>
    </w:p>
    <w:p>
      <w:pPr>
        <w:spacing w:after="0" w:line="16" w:lineRule="exact"/>
        <w:rPr>
          <w:rFonts w:ascii="Arial" w:cs="Arial" w:eastAsia="Arial" w:hAnsi="Arial"/>
          <w:sz w:val="16"/>
          <w:szCs w:val="16"/>
          <w:color w:val="auto"/>
        </w:rPr>
      </w:pPr>
    </w:p>
    <w:p>
      <w:pPr>
        <w:ind w:left="320" w:right="559" w:hanging="190"/>
        <w:spacing w:after="0" w:line="292" w:lineRule="auto"/>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risk that cost savings and synergies anticipated to be realized from acquisitions, including the Issuer Solutions Acquisition, may not be fully realized or may take longer to realize than expected or that costs may be greater than anticipated;</w:t>
      </w:r>
    </w:p>
    <w:p>
      <w:pPr>
        <w:spacing w:after="0" w:line="3" w:lineRule="exact"/>
        <w:rPr>
          <w:rFonts w:ascii="Arial" w:cs="Arial" w:eastAsia="Arial" w:hAnsi="Arial"/>
          <w:sz w:val="16"/>
          <w:szCs w:val="16"/>
          <w:color w:val="auto"/>
        </w:rPr>
      </w:pPr>
    </w:p>
    <w:p>
      <w:pPr>
        <w:ind w:left="320" w:hanging="190"/>
        <w:spacing w:after="0"/>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risks of doing business internationally;</w:t>
      </w:r>
    </w:p>
    <w:p>
      <w:pPr>
        <w:spacing w:after="0" w:line="86" w:lineRule="exact"/>
        <w:rPr>
          <w:rFonts w:ascii="Arial" w:cs="Arial" w:eastAsia="Arial" w:hAnsi="Arial"/>
          <w:sz w:val="16"/>
          <w:szCs w:val="16"/>
          <w:color w:val="auto"/>
        </w:rPr>
      </w:pPr>
    </w:p>
    <w:p>
      <w:pPr>
        <w:jc w:val="both"/>
        <w:ind w:left="320" w:right="699" w:hanging="190"/>
        <w:spacing w:after="0" w:line="292" w:lineRule="auto"/>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effect of legislative initiatives or proposals, statutory changes, governmental or applicable regulations and/or changes in industry requirements, including privacy, data protection, cybersecurity, cyber resilience and AI laws and regulations;</w:t>
      </w:r>
    </w:p>
    <w:p>
      <w:pPr>
        <w:spacing w:after="0" w:line="16" w:lineRule="exact"/>
        <w:rPr>
          <w:rFonts w:ascii="Arial" w:cs="Arial" w:eastAsia="Arial" w:hAnsi="Arial"/>
          <w:sz w:val="16"/>
          <w:szCs w:val="16"/>
          <w:color w:val="auto"/>
        </w:rPr>
      </w:pPr>
    </w:p>
    <w:p>
      <w:pPr>
        <w:ind w:left="320" w:right="499" w:hanging="190"/>
        <w:spacing w:after="0" w:line="304" w:lineRule="auto"/>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our ability to comply with climate change legal and regulatory requirements and to maintain practices that meet our stakeholders' evolving expectations;</w:t>
      </w:r>
    </w:p>
    <w:p>
      <w:pPr>
        <w:spacing w:after="0" w:line="6" w:lineRule="exact"/>
        <w:rPr>
          <w:rFonts w:ascii="Arial" w:cs="Arial" w:eastAsia="Arial" w:hAnsi="Arial"/>
          <w:sz w:val="16"/>
          <w:szCs w:val="16"/>
          <w:color w:val="auto"/>
        </w:rPr>
      </w:pPr>
    </w:p>
    <w:p>
      <w:pPr>
        <w:ind w:left="320" w:right="159" w:hanging="190"/>
        <w:spacing w:after="0" w:line="292" w:lineRule="auto"/>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risks of reduction in revenue from the elimination of existing and potential customers due to consolidation in, or new laws or regulations affecting, the banking, retail and financial services industries or due to financial failures or other setbacks suffered by firms in those industries;</w:t>
      </w:r>
    </w:p>
    <w:p>
      <w:pPr>
        <w:spacing w:after="0" w:line="16" w:lineRule="exact"/>
        <w:rPr>
          <w:rFonts w:ascii="Arial" w:cs="Arial" w:eastAsia="Arial" w:hAnsi="Arial"/>
          <w:sz w:val="16"/>
          <w:szCs w:val="16"/>
          <w:color w:val="auto"/>
        </w:rPr>
      </w:pPr>
    </w:p>
    <w:p>
      <w:pPr>
        <w:ind w:left="320" w:hanging="190"/>
        <w:spacing w:after="0"/>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changes in the growth rates of the markets for our solutions;</w:t>
      </w:r>
    </w:p>
    <w:p>
      <w:pPr>
        <w:spacing w:after="0" w:line="72" w:lineRule="exact"/>
        <w:rPr>
          <w:rFonts w:ascii="Arial" w:cs="Arial" w:eastAsia="Arial" w:hAnsi="Arial"/>
          <w:sz w:val="16"/>
          <w:szCs w:val="16"/>
          <w:color w:val="auto"/>
        </w:rPr>
      </w:pPr>
    </w:p>
    <w:p>
      <w:pPr>
        <w:ind w:left="320" w:right="239" w:hanging="190"/>
        <w:spacing w:after="0" w:line="289" w:lineRule="auto"/>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amount, declaration and payment of future dividends is at the discretion of our Board of Directors and depends on, among other things, our investment opportunities, results of operations, financial condition, cash requirements, future prospects, and other factors that may be considered relevant by our Board of Directors, including legal and contractual restrictions;</w:t>
      </w:r>
    </w:p>
    <w:p>
      <w:pPr>
        <w:spacing w:after="0" w:line="18" w:lineRule="exact"/>
        <w:rPr>
          <w:rFonts w:ascii="Arial" w:cs="Arial" w:eastAsia="Arial" w:hAnsi="Arial"/>
          <w:sz w:val="16"/>
          <w:szCs w:val="16"/>
          <w:color w:val="auto"/>
        </w:rPr>
      </w:pPr>
    </w:p>
    <w:p>
      <w:pPr>
        <w:ind w:left="320" w:right="239" w:hanging="190"/>
        <w:spacing w:after="0" w:line="292" w:lineRule="auto"/>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amount and timing of any future share repurchases is subject to, among other things, our share price, our other investment opportunities and cash requirements, our results of operations and financial condition, our future prospects and other factors that may be considered relevant by our Board of Directors and management;</w:t>
      </w:r>
    </w:p>
    <w:p>
      <w:pPr>
        <w:spacing w:after="0" w:line="16" w:lineRule="exact"/>
        <w:rPr>
          <w:rFonts w:ascii="Arial" w:cs="Arial" w:eastAsia="Arial" w:hAnsi="Arial"/>
          <w:sz w:val="16"/>
          <w:szCs w:val="16"/>
          <w:color w:val="auto"/>
        </w:rPr>
      </w:pPr>
    </w:p>
    <w:p>
      <w:pPr>
        <w:ind w:left="320" w:hanging="190"/>
        <w:spacing w:after="0"/>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failures to adapt our solutions to changes in technology or in the marketplace;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620" w:hanging="429"/>
        <w:spacing w:after="0"/>
        <w:tabs>
          <w:tab w:leader="none" w:pos="620" w:val="left"/>
        </w:tabs>
        <w:numPr>
          <w:ilvl w:val="0"/>
          <w:numId w:val="142"/>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103" w:name="page104"/>
    <w:bookmarkEnd w:id="103"/>
    <w:p>
      <w:pPr>
        <w:jc w:val="right"/>
        <w:ind w:right="139"/>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Frequently Asked Questions</w:t>
      </w:r>
    </w:p>
    <w:p>
      <w:pPr>
        <w:spacing w:after="0" w:line="200" w:lineRule="exact"/>
        <w:rPr>
          <w:sz w:val="20"/>
          <w:szCs w:val="20"/>
          <w:color w:val="auto"/>
        </w:rPr>
      </w:pPr>
    </w:p>
    <w:p>
      <w:pPr>
        <w:spacing w:after="0" w:line="215" w:lineRule="exact"/>
        <w:rPr>
          <w:sz w:val="20"/>
          <w:szCs w:val="20"/>
          <w:color w:val="auto"/>
        </w:rPr>
      </w:pPr>
    </w:p>
    <w:p>
      <w:pPr>
        <w:jc w:val="both"/>
        <w:ind w:left="320" w:right="239" w:hanging="190"/>
        <w:spacing w:after="0" w:line="292" w:lineRule="auto"/>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internal or external security or privacy breaches of our systems, including those relating to unauthorized access, theft, corruption or loss of personal information and computer viruses and other malware affecting our software or platforms, and the reactions of customers, card associations, government regulators and others to any such events;</w:t>
      </w:r>
    </w:p>
    <w:p>
      <w:pPr>
        <w:spacing w:after="0" w:line="16" w:lineRule="exact"/>
        <w:rPr>
          <w:rFonts w:ascii="Arial" w:cs="Arial" w:eastAsia="Arial" w:hAnsi="Arial"/>
          <w:sz w:val="16"/>
          <w:szCs w:val="16"/>
          <w:color w:val="auto"/>
        </w:rPr>
      </w:pPr>
    </w:p>
    <w:p>
      <w:pPr>
        <w:ind w:left="320" w:right="699" w:hanging="190"/>
        <w:spacing w:after="0" w:line="292" w:lineRule="auto"/>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risk that implementation of software, including software updates, for customers or at customer locations or employee error in monitoring our software and platforms may result in the corruption or loss of data or customer information, interruption of business operations, outages, exposure to liability claims or loss of customers;</w:t>
      </w:r>
    </w:p>
    <w:p>
      <w:pPr>
        <w:spacing w:after="0" w:line="16" w:lineRule="exact"/>
        <w:rPr>
          <w:rFonts w:ascii="Arial" w:cs="Arial" w:eastAsia="Arial" w:hAnsi="Arial"/>
          <w:sz w:val="16"/>
          <w:szCs w:val="16"/>
          <w:color w:val="auto"/>
        </w:rPr>
      </w:pPr>
    </w:p>
    <w:p>
      <w:pPr>
        <w:ind w:left="320" w:hanging="190"/>
        <w:spacing w:after="0"/>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risk that partners and third parties may fail to satisfy their legal obligations to us;</w:t>
      </w:r>
    </w:p>
    <w:p>
      <w:pPr>
        <w:spacing w:after="0" w:line="72" w:lineRule="exact"/>
        <w:rPr>
          <w:rFonts w:ascii="Arial" w:cs="Arial" w:eastAsia="Arial" w:hAnsi="Arial"/>
          <w:sz w:val="16"/>
          <w:szCs w:val="16"/>
          <w:color w:val="auto"/>
        </w:rPr>
      </w:pPr>
    </w:p>
    <w:p>
      <w:pPr>
        <w:ind w:left="320" w:hanging="190"/>
        <w:spacing w:after="0"/>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risks associated with managing pension cost, cybersecurity issues, IT outages experienced;</w:t>
      </w:r>
    </w:p>
    <w:p>
      <w:pPr>
        <w:spacing w:after="0" w:line="86" w:lineRule="exact"/>
        <w:rPr>
          <w:rFonts w:ascii="Arial" w:cs="Arial" w:eastAsia="Arial" w:hAnsi="Arial"/>
          <w:sz w:val="16"/>
          <w:szCs w:val="16"/>
          <w:color w:val="auto"/>
        </w:rPr>
      </w:pPr>
    </w:p>
    <w:p>
      <w:pPr>
        <w:ind w:left="320" w:right="699" w:hanging="190"/>
        <w:spacing w:after="0" w:line="304" w:lineRule="auto"/>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our ability to navigate the opportunities and risks associated with using and/or incorporating AI technologies into our business;</w:t>
      </w:r>
    </w:p>
    <w:p>
      <w:pPr>
        <w:spacing w:after="0" w:line="6" w:lineRule="exact"/>
        <w:rPr>
          <w:rFonts w:ascii="Arial" w:cs="Arial" w:eastAsia="Arial" w:hAnsi="Arial"/>
          <w:sz w:val="16"/>
          <w:szCs w:val="16"/>
          <w:color w:val="auto"/>
        </w:rPr>
      </w:pPr>
    </w:p>
    <w:p>
      <w:pPr>
        <w:ind w:left="320" w:right="199" w:hanging="190"/>
        <w:spacing w:after="0" w:line="308" w:lineRule="auto"/>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reaction of current and potential customers to communications from us or regulators regarding information security, risk management, internal audit or other matters;</w:t>
      </w:r>
    </w:p>
    <w:p>
      <w:pPr>
        <w:ind w:left="320" w:right="159" w:hanging="190"/>
        <w:spacing w:after="0" w:line="287" w:lineRule="auto"/>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competitive pressures on pricing related to the decreasing number of community banks in the U.S., the development of new disruptive technologies competing with one or more of our solutions, increasing presence of international competitors in the U.S. market and the entry into the market by global banks and global companies with respect to certain competitive solutions, each of which may have the impact of unbundling individual solutions from a comprehensive suite of solutions we provide to many of our customers;</w:t>
      </w:r>
    </w:p>
    <w:p>
      <w:pPr>
        <w:spacing w:after="0" w:line="6" w:lineRule="exact"/>
        <w:rPr>
          <w:rFonts w:ascii="Arial" w:cs="Arial" w:eastAsia="Arial" w:hAnsi="Arial"/>
          <w:sz w:val="16"/>
          <w:szCs w:val="16"/>
          <w:color w:val="auto"/>
        </w:rPr>
      </w:pPr>
    </w:p>
    <w:p>
      <w:pPr>
        <w:ind w:left="320" w:right="379" w:hanging="190"/>
        <w:spacing w:after="0" w:line="308" w:lineRule="auto"/>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failure to innovate in order to keep up with new emerging technologies, which could impact our solutions and our ability to attract new, or retain existing, customers;</w:t>
      </w:r>
    </w:p>
    <w:p>
      <w:pPr>
        <w:ind w:left="320" w:hanging="190"/>
        <w:spacing w:after="0"/>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 operational or natural disaster at one of our major operations centers;</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failure to comply with applicable requirements of payment networks or changes in those requirements;</w:t>
      </w:r>
    </w:p>
    <w:p>
      <w:pPr>
        <w:spacing w:after="0" w:line="86" w:lineRule="exact"/>
        <w:rPr>
          <w:rFonts w:ascii="Arial" w:cs="Arial" w:eastAsia="Arial" w:hAnsi="Arial"/>
          <w:sz w:val="16"/>
          <w:szCs w:val="16"/>
          <w:color w:val="auto"/>
        </w:rPr>
      </w:pPr>
    </w:p>
    <w:p>
      <w:pPr>
        <w:ind w:left="320" w:hanging="190"/>
        <w:spacing w:after="0"/>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fraud by bad actors; and</w:t>
      </w:r>
    </w:p>
    <w:p>
      <w:pPr>
        <w:spacing w:after="0" w:line="72" w:lineRule="exact"/>
        <w:rPr>
          <w:rFonts w:ascii="Arial" w:cs="Arial" w:eastAsia="Arial" w:hAnsi="Arial"/>
          <w:sz w:val="16"/>
          <w:szCs w:val="16"/>
          <w:color w:val="auto"/>
        </w:rPr>
      </w:pPr>
    </w:p>
    <w:p>
      <w:pPr>
        <w:ind w:left="320" w:right="279" w:hanging="190"/>
        <w:spacing w:after="0" w:line="321" w:lineRule="auto"/>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Other risks detailed elsewhere in the “Risk Factors” section and other sections of our Annual Report on Form 10-K for the fiscal year ended December 31, 2025, and in our other filings with the SEC.</w:t>
      </w:r>
    </w:p>
    <w:p>
      <w:pPr>
        <w:spacing w:after="0" w:line="88" w:lineRule="exact"/>
        <w:rPr>
          <w:sz w:val="20"/>
          <w:szCs w:val="20"/>
          <w:color w:val="auto"/>
        </w:rPr>
      </w:pPr>
    </w:p>
    <w:p>
      <w:pPr>
        <w:ind w:left="140" w:right="239"/>
        <w:spacing w:after="0" w:line="268" w:lineRule="auto"/>
        <w:rPr>
          <w:sz w:val="20"/>
          <w:szCs w:val="20"/>
          <w:color w:val="auto"/>
        </w:rPr>
      </w:pPr>
      <w:r>
        <w:rPr>
          <w:rFonts w:ascii="Arial" w:cs="Arial" w:eastAsia="Arial" w:hAnsi="Arial"/>
          <w:sz w:val="16"/>
          <w:szCs w:val="16"/>
          <w:color w:val="auto"/>
        </w:rPr>
        <w:t>Other unknown or unpredictable factors also could have a material adverse effect on our business, financial condition, results of operations and prospects. Accordingly, readers should not place undue reliance on these forward-looking statements. These forward-looking statements are inherently subject to uncertainties, risks and changes in circumstances that are difficult to predict. Except as required by applicable law or regulation, we do not undertake (and expressly disclaim) any obligation and do not intend to publicly update or review any of these forward-looking statements, whether as a result of new information, future events or otherwise.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960"/>
        <w:spacing w:after="0"/>
        <w:tabs>
          <w:tab w:leader="none" w:pos="858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101</w:t>
      </w:r>
    </w:p>
    <w:p>
      <w:pPr>
        <w:sectPr>
          <w:pgSz w:w="11900" w:h="16838" w:orient="portrait"/>
          <w:cols w:equalWidth="0" w:num="1">
            <w:col w:w="9019"/>
          </w:cols>
          <w:pgMar w:left="1440" w:top="657" w:right="1440" w:bottom="1440" w:gutter="0" w:footer="0" w:header="0"/>
          <w:type w:val="continuous"/>
        </w:sectPr>
      </w:pPr>
    </w:p>
    <w:bookmarkStart w:id="104" w:name="page105"/>
    <w:bookmarkEnd w:id="104"/>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43"/>
          <w:szCs w:val="43"/>
          <w:b w:val="1"/>
          <w:bCs w:val="1"/>
          <w:color w:val="431C5B"/>
        </w:rPr>
        <w:t>Appendix A</w:t>
      </w:r>
    </w:p>
    <w:p>
      <w:pPr>
        <w:spacing w:after="0" w:line="261"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431C5B"/>
        </w:rPr>
        <w:t>Reconciliations of Non-GAAP Financial Measures</w:t>
      </w:r>
    </w:p>
    <w:p>
      <w:pPr>
        <w:spacing w:after="0" w:line="247" w:lineRule="exact"/>
        <w:rPr>
          <w:sz w:val="20"/>
          <w:szCs w:val="20"/>
          <w:color w:val="auto"/>
        </w:rPr>
      </w:pPr>
    </w:p>
    <w:p>
      <w:pPr>
        <w:ind w:left="140"/>
        <w:spacing w:after="0"/>
        <w:rPr>
          <w:sz w:val="20"/>
          <w:szCs w:val="20"/>
          <w:color w:val="auto"/>
        </w:rPr>
      </w:pPr>
      <w:r>
        <w:rPr>
          <w:rFonts w:ascii="Arial" w:cs="Arial" w:eastAsia="Arial" w:hAnsi="Arial"/>
          <w:sz w:val="25"/>
          <w:szCs w:val="25"/>
          <w:color w:val="431C5B"/>
        </w:rPr>
        <w:t>1. Adjusted Revenue Growth</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431C5B"/>
              </w:rPr>
              <w:t>Year Ended</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431C5B"/>
              </w:rPr>
              <w:t>Year Ended</w:t>
            </w:r>
          </w:p>
        </w:tc>
        <w:tc>
          <w:tcPr>
            <w:tcW w:w="820" w:type="dxa"/>
            <w:vAlign w:val="bottom"/>
          </w:tcPr>
          <w:p>
            <w:pPr>
              <w:spacing w:after="0"/>
              <w:rPr>
                <w:sz w:val="15"/>
                <w:szCs w:val="15"/>
                <w:color w:val="auto"/>
              </w:rPr>
            </w:pPr>
          </w:p>
        </w:tc>
      </w:tr>
      <w:tr>
        <w:trPr>
          <w:trHeight w:val="185"/>
        </w:trPr>
        <w:tc>
          <w:tcPr>
            <w:tcW w:w="3460" w:type="dxa"/>
            <w:vAlign w:val="bottom"/>
          </w:tcPr>
          <w:p>
            <w:pPr>
              <w:spacing w:after="0"/>
              <w:rPr>
                <w:sz w:val="16"/>
                <w:szCs w:val="16"/>
                <w:color w:val="auto"/>
              </w:rPr>
            </w:pPr>
          </w:p>
        </w:tc>
        <w:tc>
          <w:tcPr>
            <w:tcW w:w="160" w:type="dxa"/>
            <w:vAlign w:val="bottom"/>
            <w:tcBorders>
              <w:bottom w:val="single" w:sz="8" w:color="431C5B"/>
            </w:tcBorders>
          </w:tcPr>
          <w:p>
            <w:pPr>
              <w:spacing w:after="0"/>
              <w:rPr>
                <w:sz w:val="16"/>
                <w:szCs w:val="16"/>
                <w:color w:val="auto"/>
              </w:rPr>
            </w:pPr>
          </w:p>
        </w:tc>
        <w:tc>
          <w:tcPr>
            <w:tcW w:w="2020" w:type="dxa"/>
            <w:vAlign w:val="bottom"/>
            <w:tcBorders>
              <w:bottom w:val="single" w:sz="8" w:color="431C5B"/>
            </w:tcBorders>
            <w:gridSpan w:val="5"/>
          </w:tcPr>
          <w:p>
            <w:pPr>
              <w:jc w:val="center"/>
              <w:ind w:left="443"/>
              <w:spacing w:after="0"/>
              <w:rPr>
                <w:sz w:val="20"/>
                <w:szCs w:val="20"/>
                <w:color w:val="auto"/>
              </w:rPr>
            </w:pPr>
            <w:r>
              <w:rPr>
                <w:rFonts w:ascii="Arial" w:cs="Arial" w:eastAsia="Arial" w:hAnsi="Arial"/>
                <w:sz w:val="14"/>
                <w:szCs w:val="14"/>
                <w:b w:val="1"/>
                <w:bCs w:val="1"/>
                <w:color w:val="431C5B"/>
              </w:rPr>
              <w:t>December 31, 2025</w:t>
            </w:r>
          </w:p>
        </w:tc>
        <w:tc>
          <w:tcPr>
            <w:tcW w:w="680" w:type="dxa"/>
            <w:vAlign w:val="bottom"/>
            <w:tcBorders>
              <w:bottom w:val="single" w:sz="8" w:color="431C5B"/>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431C5B"/>
            </w:tcBorders>
            <w:gridSpan w:val="3"/>
          </w:tcPr>
          <w:p>
            <w:pPr>
              <w:jc w:val="right"/>
              <w:spacing w:after="0"/>
              <w:rPr>
                <w:sz w:val="20"/>
                <w:szCs w:val="20"/>
                <w:color w:val="auto"/>
              </w:rPr>
            </w:pPr>
            <w:r>
              <w:rPr>
                <w:rFonts w:ascii="Arial" w:cs="Arial" w:eastAsia="Arial" w:hAnsi="Arial"/>
                <w:sz w:val="14"/>
                <w:szCs w:val="14"/>
                <w:b w:val="1"/>
                <w:bCs w:val="1"/>
                <w:color w:val="431C5B"/>
              </w:rPr>
              <w:t>December 31, 2024</w:t>
            </w:r>
          </w:p>
        </w:tc>
        <w:tc>
          <w:tcPr>
            <w:tcW w:w="820" w:type="dxa"/>
            <w:vAlign w:val="bottom"/>
          </w:tcPr>
          <w:p>
            <w:pPr>
              <w:spacing w:after="0"/>
              <w:rPr>
                <w:sz w:val="16"/>
                <w:szCs w:val="16"/>
                <w:color w:val="auto"/>
              </w:rPr>
            </w:pPr>
          </w:p>
        </w:tc>
      </w:tr>
      <w:tr>
        <w:trPr>
          <w:trHeight w:val="200"/>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431C5B"/>
              </w:rPr>
              <w:t>Constant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6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b w:val="1"/>
                <w:bCs w:val="1"/>
                <w:color w:val="431C5B"/>
              </w:rPr>
              <w:t>Currency</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ind w:left="160"/>
              <w:spacing w:after="0" w:line="159" w:lineRule="exact"/>
              <w:rPr>
                <w:sz w:val="20"/>
                <w:szCs w:val="20"/>
                <w:color w:val="auto"/>
              </w:rPr>
            </w:pPr>
            <w:r>
              <w:rPr>
                <w:rFonts w:ascii="Arial" w:cs="Arial" w:eastAsia="Arial" w:hAnsi="Arial"/>
                <w:sz w:val="14"/>
                <w:szCs w:val="14"/>
                <w:b w:val="1"/>
                <w:bCs w:val="1"/>
                <w:color w:val="431C5B"/>
              </w:rPr>
              <w:t>Adjusted</w:t>
            </w:r>
          </w:p>
        </w:tc>
      </w:tr>
      <w:tr>
        <w:trPr>
          <w:trHeight w:val="201"/>
        </w:trPr>
        <w:tc>
          <w:tcPr>
            <w:tcW w:w="3620" w:type="dxa"/>
            <w:vAlign w:val="bottom"/>
            <w:tcBorders>
              <w:bottom w:val="single" w:sz="8" w:color="431C5B"/>
            </w:tcBorders>
            <w:gridSpan w:val="2"/>
          </w:tcPr>
          <w:p>
            <w:pPr>
              <w:ind w:left="80"/>
              <w:spacing w:after="0"/>
              <w:rPr>
                <w:sz w:val="20"/>
                <w:szCs w:val="20"/>
                <w:color w:val="auto"/>
              </w:rPr>
            </w:pPr>
            <w:r>
              <w:rPr>
                <w:rFonts w:ascii="Arial" w:cs="Arial" w:eastAsia="Arial" w:hAnsi="Arial"/>
                <w:sz w:val="14"/>
                <w:szCs w:val="14"/>
                <w:b w:val="1"/>
                <w:bCs w:val="1"/>
                <w:color w:val="431C5B"/>
              </w:rPr>
              <w:t>($ in Millions)</w:t>
            </w:r>
          </w:p>
        </w:tc>
        <w:tc>
          <w:tcPr>
            <w:tcW w:w="70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Revenue</w:t>
            </w:r>
          </w:p>
        </w:tc>
        <w:tc>
          <w:tcPr>
            <w:tcW w:w="500" w:type="dxa"/>
            <w:vAlign w:val="bottom"/>
            <w:tcBorders>
              <w:bottom w:val="single" w:sz="8" w:color="431C5B"/>
            </w:tcBorders>
          </w:tcPr>
          <w:p>
            <w:pPr>
              <w:spacing w:after="0"/>
              <w:rPr>
                <w:sz w:val="17"/>
                <w:szCs w:val="17"/>
                <w:color w:val="auto"/>
              </w:rPr>
            </w:pPr>
          </w:p>
        </w:tc>
        <w:tc>
          <w:tcPr>
            <w:tcW w:w="240" w:type="dxa"/>
            <w:vAlign w:val="bottom"/>
            <w:tcBorders>
              <w:bottom w:val="single" w:sz="8" w:color="431C5B"/>
            </w:tcBorders>
          </w:tcPr>
          <w:p>
            <w:pPr>
              <w:spacing w:after="0"/>
              <w:rPr>
                <w:sz w:val="17"/>
                <w:szCs w:val="17"/>
                <w:color w:val="auto"/>
              </w:rPr>
            </w:pPr>
          </w:p>
        </w:tc>
        <w:tc>
          <w:tcPr>
            <w:tcW w:w="580" w:type="dxa"/>
            <w:vAlign w:val="bottom"/>
            <w:tcBorders>
              <w:bottom w:val="single" w:sz="8" w:color="431C5B"/>
            </w:tcBorders>
            <w:gridSpan w:val="2"/>
          </w:tcPr>
          <w:p>
            <w:pPr>
              <w:ind w:left="180"/>
              <w:spacing w:after="0"/>
              <w:rPr>
                <w:sz w:val="20"/>
                <w:szCs w:val="20"/>
                <w:color w:val="auto"/>
              </w:rPr>
            </w:pPr>
            <w:r>
              <w:rPr>
                <w:rFonts w:ascii="Arial" w:cs="Arial" w:eastAsia="Arial" w:hAnsi="Arial"/>
                <w:sz w:val="14"/>
                <w:szCs w:val="14"/>
                <w:b w:val="1"/>
                <w:bCs w:val="1"/>
                <w:color w:val="431C5B"/>
              </w:rPr>
              <w:t>FX</w:t>
            </w:r>
          </w:p>
        </w:tc>
        <w:tc>
          <w:tcPr>
            <w:tcW w:w="68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Revenue</w:t>
            </w:r>
          </w:p>
        </w:tc>
        <w:tc>
          <w:tcPr>
            <w:tcW w:w="180" w:type="dxa"/>
            <w:vAlign w:val="bottom"/>
            <w:tcBorders>
              <w:bottom w:val="single" w:sz="8" w:color="431C5B"/>
            </w:tcBorders>
          </w:tcPr>
          <w:p>
            <w:pPr>
              <w:spacing w:after="0"/>
              <w:rPr>
                <w:sz w:val="17"/>
                <w:szCs w:val="17"/>
                <w:color w:val="auto"/>
              </w:rPr>
            </w:pPr>
          </w:p>
        </w:tc>
        <w:tc>
          <w:tcPr>
            <w:tcW w:w="720" w:type="dxa"/>
            <w:vAlign w:val="bottom"/>
            <w:tcBorders>
              <w:bottom w:val="single" w:sz="8" w:color="431C5B"/>
            </w:tcBorders>
          </w:tcPr>
          <w:p>
            <w:pPr>
              <w:spacing w:after="0"/>
              <w:rPr>
                <w:sz w:val="17"/>
                <w:szCs w:val="17"/>
                <w:color w:val="auto"/>
              </w:rPr>
            </w:pPr>
          </w:p>
        </w:tc>
        <w:tc>
          <w:tcPr>
            <w:tcW w:w="720" w:type="dxa"/>
            <w:vAlign w:val="bottom"/>
            <w:tcBorders>
              <w:bottom w:val="single" w:sz="8" w:color="431C5B"/>
            </w:tcBorders>
            <w:gridSpan w:val="2"/>
          </w:tcPr>
          <w:p>
            <w:pPr>
              <w:ind w:left="60"/>
              <w:spacing w:after="0"/>
              <w:rPr>
                <w:sz w:val="20"/>
                <w:szCs w:val="20"/>
                <w:color w:val="auto"/>
              </w:rPr>
            </w:pPr>
            <w:r>
              <w:rPr>
                <w:rFonts w:ascii="Arial" w:cs="Arial" w:eastAsia="Arial" w:hAnsi="Arial"/>
                <w:sz w:val="14"/>
                <w:szCs w:val="14"/>
                <w:b w:val="1"/>
                <w:bCs w:val="1"/>
                <w:color w:val="431C5B"/>
              </w:rPr>
              <w:t>Revenue</w:t>
            </w:r>
          </w:p>
        </w:tc>
        <w:tc>
          <w:tcPr>
            <w:tcW w:w="820" w:type="dxa"/>
            <w:vAlign w:val="bottom"/>
            <w:tcBorders>
              <w:bottom w:val="single" w:sz="8" w:color="431C5B"/>
            </w:tcBorders>
          </w:tcPr>
          <w:p>
            <w:pPr>
              <w:ind w:left="160"/>
              <w:spacing w:after="0" w:line="201" w:lineRule="exact"/>
              <w:rPr>
                <w:sz w:val="20"/>
                <w:szCs w:val="20"/>
                <w:color w:val="auto"/>
              </w:rPr>
            </w:pPr>
            <w:r>
              <w:rPr>
                <w:rFonts w:ascii="Arial" w:cs="Arial" w:eastAsia="Arial" w:hAnsi="Arial"/>
                <w:sz w:val="14"/>
                <w:szCs w:val="14"/>
                <w:b w:val="1"/>
                <w:bCs w:val="1"/>
                <w:color w:val="431C5B"/>
              </w:rPr>
              <w:t>Growth</w:t>
            </w:r>
            <w:r>
              <w:rPr>
                <w:rFonts w:ascii="Arial" w:cs="Arial" w:eastAsia="Arial" w:hAnsi="Arial"/>
                <w:sz w:val="18"/>
                <w:szCs w:val="18"/>
                <w:b w:val="1"/>
                <w:bCs w:val="1"/>
                <w:color w:val="431C5B"/>
                <w:vertAlign w:val="superscript"/>
              </w:rPr>
              <w:t>(1)</w:t>
            </w:r>
          </w:p>
        </w:tc>
      </w:tr>
      <w:tr>
        <w:trPr>
          <w:trHeight w:val="209"/>
        </w:trPr>
        <w:tc>
          <w:tcPr>
            <w:tcW w:w="3620" w:type="dxa"/>
            <w:vAlign w:val="bottom"/>
            <w:tcBorders>
              <w:bottom w:val="single" w:sz="8" w:color="E6E6E6"/>
            </w:tcBorders>
            <w:gridSpan w:val="2"/>
            <w:shd w:val="clear" w:color="auto" w:fill="EEFAEC"/>
          </w:tcPr>
          <w:p>
            <w:pPr>
              <w:ind w:left="80"/>
              <w:spacing w:after="0"/>
              <w:rPr>
                <w:sz w:val="20"/>
                <w:szCs w:val="20"/>
                <w:color w:val="auto"/>
              </w:rPr>
            </w:pPr>
            <w:r>
              <w:rPr>
                <w:rFonts w:ascii="Arial" w:cs="Arial" w:eastAsia="Arial" w:hAnsi="Arial"/>
                <w:sz w:val="16"/>
                <w:szCs w:val="16"/>
                <w:color w:val="auto"/>
              </w:rPr>
              <w:t>Consolidated FIS</w:t>
            </w:r>
          </w:p>
        </w:tc>
        <w:tc>
          <w:tcPr>
            <w:tcW w:w="700" w:type="dxa"/>
            <w:vAlign w:val="bottom"/>
            <w:tcBorders>
              <w:bottom w:val="single" w:sz="8" w:color="E6E6E6"/>
            </w:tcBorders>
            <w:shd w:val="clear" w:color="auto" w:fill="EEFAEC"/>
          </w:tcPr>
          <w:p>
            <w:pPr>
              <w:jc w:val="right"/>
              <w:ind w:right="3"/>
              <w:spacing w:after="0"/>
              <w:rPr>
                <w:sz w:val="20"/>
                <w:szCs w:val="20"/>
                <w:color w:val="auto"/>
              </w:rPr>
            </w:pPr>
            <w:r>
              <w:rPr>
                <w:rFonts w:ascii="Arial" w:cs="Arial" w:eastAsia="Arial" w:hAnsi="Arial"/>
                <w:sz w:val="16"/>
                <w:szCs w:val="16"/>
                <w:color w:val="auto"/>
              </w:rPr>
              <w:t>$10,677</w:t>
            </w:r>
          </w:p>
        </w:tc>
        <w:tc>
          <w:tcPr>
            <w:tcW w:w="740" w:type="dxa"/>
            <w:vAlign w:val="bottom"/>
            <w:tcBorders>
              <w:bottom w:val="single" w:sz="8" w:color="E6E6E6"/>
            </w:tcBorders>
            <w:gridSpan w:val="2"/>
            <w:shd w:val="clear" w:color="auto" w:fill="EEFAEC"/>
          </w:tcPr>
          <w:p>
            <w:pPr>
              <w:jc w:val="center"/>
              <w:ind w:left="36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bottom w:val="single" w:sz="8" w:color="E6E6E6"/>
            </w:tcBorders>
            <w:shd w:val="clear" w:color="auto" w:fill="EEFAEC"/>
          </w:tcPr>
          <w:p>
            <w:pPr>
              <w:spacing w:after="0"/>
              <w:rPr>
                <w:sz w:val="18"/>
                <w:szCs w:val="18"/>
                <w:color w:val="auto"/>
              </w:rPr>
            </w:pPr>
          </w:p>
        </w:tc>
        <w:tc>
          <w:tcPr>
            <w:tcW w:w="680" w:type="dxa"/>
            <w:vAlign w:val="bottom"/>
            <w:tcBorders>
              <w:bottom w:val="single" w:sz="8" w:color="E6E6E6"/>
            </w:tcBorders>
            <w:shd w:val="clear" w:color="auto" w:fill="EEFAEC"/>
          </w:tcPr>
          <w:p>
            <w:pPr>
              <w:jc w:val="center"/>
              <w:spacing w:after="0"/>
              <w:rPr>
                <w:sz w:val="20"/>
                <w:szCs w:val="20"/>
                <w:color w:val="auto"/>
              </w:rPr>
            </w:pPr>
            <w:r>
              <w:rPr>
                <w:rFonts w:ascii="Arial" w:cs="Arial" w:eastAsia="Arial" w:hAnsi="Arial"/>
                <w:sz w:val="16"/>
                <w:szCs w:val="16"/>
                <w:color w:val="auto"/>
              </w:rPr>
              <w:t>$10,641</w:t>
            </w:r>
          </w:p>
        </w:tc>
        <w:tc>
          <w:tcPr>
            <w:tcW w:w="1040" w:type="dxa"/>
            <w:vAlign w:val="bottom"/>
            <w:tcBorders>
              <w:bottom w:val="single" w:sz="8" w:color="E6E6E6"/>
            </w:tcBorders>
            <w:gridSpan w:val="3"/>
            <w:shd w:val="clear" w:color="auto" w:fill="EEFAEC"/>
          </w:tcPr>
          <w:p>
            <w:pPr>
              <w:ind w:left="94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w w:val="98"/>
              </w:rPr>
              <w:t>10,127</w:t>
            </w:r>
          </w:p>
        </w:tc>
        <w:tc>
          <w:tcPr>
            <w:tcW w:w="820" w:type="dxa"/>
            <w:vAlign w:val="bottom"/>
            <w:tcBorders>
              <w:bottom w:val="single" w:sz="8" w:color="E6E6E6"/>
            </w:tcBorders>
            <w:shd w:val="clear" w:color="auto" w:fill="EEFAEC"/>
          </w:tcPr>
          <w:p>
            <w:pPr>
              <w:spacing w:after="0"/>
              <w:rPr>
                <w:sz w:val="18"/>
                <w:szCs w:val="18"/>
                <w:color w:val="auto"/>
              </w:rPr>
            </w:pPr>
          </w:p>
        </w:tc>
      </w:tr>
      <w:tr>
        <w:trPr>
          <w:trHeight w:val="209"/>
        </w:trPr>
        <w:tc>
          <w:tcPr>
            <w:tcW w:w="3620" w:type="dxa"/>
            <w:vAlign w:val="bottom"/>
            <w:tcBorders>
              <w:bottom w:val="single" w:sz="8" w:color="E6E6E6"/>
            </w:tcBorders>
            <w:gridSpan w:val="2"/>
          </w:tcPr>
          <w:p>
            <w:pPr>
              <w:ind w:left="80"/>
              <w:spacing w:after="0"/>
              <w:rPr>
                <w:sz w:val="20"/>
                <w:szCs w:val="20"/>
                <w:color w:val="auto"/>
              </w:rPr>
            </w:pPr>
            <w:r>
              <w:rPr>
                <w:rFonts w:ascii="Arial" w:cs="Arial" w:eastAsia="Arial" w:hAnsi="Arial"/>
                <w:sz w:val="16"/>
                <w:szCs w:val="16"/>
                <w:color w:val="auto"/>
              </w:rPr>
              <w:t>Corporate and Other</w:t>
            </w:r>
          </w:p>
        </w:tc>
        <w:tc>
          <w:tcPr>
            <w:tcW w:w="700" w:type="dxa"/>
            <w:vAlign w:val="bottom"/>
            <w:tcBorders>
              <w:bottom w:val="single" w:sz="8" w:color="431C5B"/>
            </w:tcBorders>
          </w:tcPr>
          <w:p>
            <w:pPr>
              <w:jc w:val="right"/>
              <w:ind w:right="3"/>
              <w:spacing w:after="0"/>
              <w:rPr>
                <w:sz w:val="20"/>
                <w:szCs w:val="20"/>
                <w:color w:val="auto"/>
              </w:rPr>
            </w:pPr>
            <w:r>
              <w:rPr>
                <w:rFonts w:ascii="Arial" w:cs="Arial" w:eastAsia="Arial" w:hAnsi="Arial"/>
                <w:sz w:val="16"/>
                <w:szCs w:val="16"/>
                <w:color w:val="auto"/>
              </w:rPr>
              <w:t>196</w:t>
            </w:r>
          </w:p>
        </w:tc>
        <w:tc>
          <w:tcPr>
            <w:tcW w:w="500" w:type="dxa"/>
            <w:vAlign w:val="bottom"/>
            <w:tcBorders>
              <w:bottom w:val="single" w:sz="8" w:color="E6E6E6"/>
            </w:tcBorders>
          </w:tcPr>
          <w:p>
            <w:pPr>
              <w:spacing w:after="0"/>
              <w:rPr>
                <w:sz w:val="18"/>
                <w:szCs w:val="18"/>
                <w:color w:val="auto"/>
              </w:rPr>
            </w:pPr>
          </w:p>
        </w:tc>
        <w:tc>
          <w:tcPr>
            <w:tcW w:w="240" w:type="dxa"/>
            <w:vAlign w:val="bottom"/>
            <w:tcBorders>
              <w:bottom w:val="single" w:sz="8" w:color="431C5B"/>
            </w:tcBorders>
          </w:tcPr>
          <w:p>
            <w:pPr>
              <w:spacing w:after="0"/>
              <w:rPr>
                <w:sz w:val="18"/>
                <w:szCs w:val="18"/>
                <w:color w:val="auto"/>
              </w:rPr>
            </w:pPr>
          </w:p>
        </w:tc>
        <w:tc>
          <w:tcPr>
            <w:tcW w:w="40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6E6E6"/>
            </w:tcBorders>
          </w:tcPr>
          <w:p>
            <w:pPr>
              <w:spacing w:after="0"/>
              <w:rPr>
                <w:sz w:val="18"/>
                <w:szCs w:val="18"/>
                <w:color w:val="auto"/>
              </w:rPr>
            </w:pPr>
          </w:p>
        </w:tc>
        <w:tc>
          <w:tcPr>
            <w:tcW w:w="68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195</w:t>
            </w:r>
          </w:p>
        </w:tc>
        <w:tc>
          <w:tcPr>
            <w:tcW w:w="180" w:type="dxa"/>
            <w:vAlign w:val="bottom"/>
            <w:tcBorders>
              <w:bottom w:val="single" w:sz="8" w:color="E6E6E6"/>
            </w:tcBorders>
          </w:tcPr>
          <w:p>
            <w:pPr>
              <w:spacing w:after="0"/>
              <w:rPr>
                <w:sz w:val="18"/>
                <w:szCs w:val="18"/>
                <w:color w:val="auto"/>
              </w:rPr>
            </w:pPr>
          </w:p>
        </w:tc>
        <w:tc>
          <w:tcPr>
            <w:tcW w:w="720" w:type="dxa"/>
            <w:vAlign w:val="bottom"/>
            <w:tcBorders>
              <w:bottom w:val="single" w:sz="8" w:color="E6E6E6"/>
            </w:tcBorders>
          </w:tcPr>
          <w:p>
            <w:pPr>
              <w:spacing w:after="0"/>
              <w:rPr>
                <w:sz w:val="18"/>
                <w:szCs w:val="18"/>
                <w:color w:val="auto"/>
              </w:rPr>
            </w:pPr>
          </w:p>
        </w:tc>
        <w:tc>
          <w:tcPr>
            <w:tcW w:w="140" w:type="dxa"/>
            <w:vAlign w:val="bottom"/>
            <w:tcBorders>
              <w:bottom w:val="single" w:sz="8" w:color="431C5B"/>
            </w:tcBorders>
          </w:tcPr>
          <w:p>
            <w:pPr>
              <w:spacing w:after="0"/>
              <w:rPr>
                <w:sz w:val="18"/>
                <w:szCs w:val="18"/>
                <w:color w:val="auto"/>
              </w:rPr>
            </w:pPr>
          </w:p>
        </w:tc>
        <w:tc>
          <w:tcPr>
            <w:tcW w:w="58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256</w:t>
            </w:r>
          </w:p>
        </w:tc>
        <w:tc>
          <w:tcPr>
            <w:tcW w:w="820" w:type="dxa"/>
            <w:vAlign w:val="bottom"/>
            <w:tcBorders>
              <w:bottom w:val="single" w:sz="8" w:color="E6E6E6"/>
            </w:tcBorders>
          </w:tcPr>
          <w:p>
            <w:pPr>
              <w:spacing w:after="0"/>
              <w:rPr>
                <w:sz w:val="18"/>
                <w:szCs w:val="18"/>
                <w:color w:val="auto"/>
              </w:rPr>
            </w:pPr>
          </w:p>
        </w:tc>
      </w:tr>
      <w:tr>
        <w:trPr>
          <w:trHeight w:val="264"/>
        </w:trPr>
        <w:tc>
          <w:tcPr>
            <w:tcW w:w="3620" w:type="dxa"/>
            <w:vAlign w:val="bottom"/>
            <w:tcBorders>
              <w:bottom w:val="single" w:sz="8" w:color="431C5B"/>
            </w:tcBorders>
            <w:gridSpan w:val="2"/>
            <w:shd w:val="clear" w:color="auto" w:fill="EEFAEC"/>
          </w:tcPr>
          <w:p>
            <w:pPr>
              <w:ind w:left="80"/>
              <w:spacing w:after="0" w:line="183" w:lineRule="exact"/>
              <w:rPr>
                <w:sz w:val="20"/>
                <w:szCs w:val="20"/>
                <w:color w:val="auto"/>
              </w:rPr>
            </w:pPr>
            <w:r>
              <w:rPr>
                <w:rFonts w:ascii="Arial" w:cs="Arial" w:eastAsia="Arial" w:hAnsi="Arial"/>
                <w:sz w:val="16"/>
                <w:szCs w:val="16"/>
                <w:color w:val="auto"/>
              </w:rPr>
              <w:t>Adjusted Revenue</w:t>
            </w:r>
          </w:p>
        </w:tc>
        <w:tc>
          <w:tcPr>
            <w:tcW w:w="700" w:type="dxa"/>
            <w:vAlign w:val="bottom"/>
            <w:tcBorders>
              <w:bottom w:val="single" w:sz="8" w:color="431C5B"/>
            </w:tcBorders>
            <w:shd w:val="clear" w:color="auto" w:fill="EEFAEC"/>
          </w:tcPr>
          <w:p>
            <w:pPr>
              <w:jc w:val="right"/>
              <w:ind w:right="3"/>
              <w:spacing w:after="0" w:line="183" w:lineRule="exact"/>
              <w:rPr>
                <w:sz w:val="20"/>
                <w:szCs w:val="20"/>
                <w:color w:val="auto"/>
              </w:rPr>
            </w:pPr>
            <w:r>
              <w:rPr>
                <w:rFonts w:ascii="Arial" w:cs="Arial" w:eastAsia="Arial" w:hAnsi="Arial"/>
                <w:sz w:val="16"/>
                <w:szCs w:val="16"/>
                <w:color w:val="auto"/>
              </w:rPr>
              <w:t>$10,481</w:t>
            </w:r>
          </w:p>
        </w:tc>
        <w:tc>
          <w:tcPr>
            <w:tcW w:w="740" w:type="dxa"/>
            <w:vAlign w:val="bottom"/>
            <w:tcBorders>
              <w:bottom w:val="single" w:sz="8" w:color="431C5B"/>
            </w:tcBorders>
            <w:gridSpan w:val="2"/>
            <w:shd w:val="clear" w:color="auto" w:fill="EEFAEC"/>
          </w:tcPr>
          <w:p>
            <w:pPr>
              <w:jc w:val="center"/>
              <w:ind w:left="362"/>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431C5B"/>
            </w:tcBorders>
            <w:shd w:val="clear" w:color="auto" w:fill="EEFAEC"/>
          </w:tcPr>
          <w:p>
            <w:pPr>
              <w:jc w:val="right"/>
              <w:spacing w:after="0" w:line="183" w:lineRule="exact"/>
              <w:rPr>
                <w:sz w:val="20"/>
                <w:szCs w:val="20"/>
                <w:color w:val="auto"/>
              </w:rPr>
            </w:pPr>
            <w:r>
              <w:rPr>
                <w:rFonts w:ascii="Arial" w:cs="Arial" w:eastAsia="Arial" w:hAnsi="Arial"/>
                <w:sz w:val="16"/>
                <w:szCs w:val="16"/>
                <w:color w:val="auto"/>
              </w:rPr>
              <w:t>(35)</w:t>
            </w:r>
          </w:p>
        </w:tc>
        <w:tc>
          <w:tcPr>
            <w:tcW w:w="180" w:type="dxa"/>
            <w:vAlign w:val="bottom"/>
            <w:tcBorders>
              <w:bottom w:val="single" w:sz="8" w:color="431C5B"/>
            </w:tcBorders>
            <w:shd w:val="clear" w:color="auto" w:fill="EEFAEC"/>
          </w:tcPr>
          <w:p>
            <w:pPr>
              <w:spacing w:after="0"/>
              <w:rPr>
                <w:sz w:val="22"/>
                <w:szCs w:val="22"/>
                <w:color w:val="auto"/>
              </w:rPr>
            </w:pPr>
          </w:p>
        </w:tc>
        <w:tc>
          <w:tcPr>
            <w:tcW w:w="680" w:type="dxa"/>
            <w:vAlign w:val="bottom"/>
            <w:tcBorders>
              <w:bottom w:val="single" w:sz="8" w:color="431C5B"/>
            </w:tcBorders>
            <w:shd w:val="clear" w:color="auto" w:fill="EEFAEC"/>
          </w:tcPr>
          <w:p>
            <w:pPr>
              <w:jc w:val="center"/>
              <w:spacing w:after="0" w:line="183" w:lineRule="exact"/>
              <w:rPr>
                <w:sz w:val="20"/>
                <w:szCs w:val="20"/>
                <w:color w:val="auto"/>
              </w:rPr>
            </w:pPr>
            <w:r>
              <w:rPr>
                <w:rFonts w:ascii="Arial" w:cs="Arial" w:eastAsia="Arial" w:hAnsi="Arial"/>
                <w:sz w:val="16"/>
                <w:szCs w:val="16"/>
                <w:color w:val="auto"/>
              </w:rPr>
              <w:t>$10,446</w:t>
            </w:r>
          </w:p>
        </w:tc>
        <w:tc>
          <w:tcPr>
            <w:tcW w:w="1040" w:type="dxa"/>
            <w:vAlign w:val="bottom"/>
            <w:tcBorders>
              <w:bottom w:val="single" w:sz="8" w:color="431C5B"/>
            </w:tcBorders>
            <w:gridSpan w:val="3"/>
            <w:shd w:val="clear" w:color="auto" w:fill="EEFAEC"/>
          </w:tcPr>
          <w:p>
            <w:pPr>
              <w:ind w:left="940"/>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431C5B"/>
            </w:tcBorders>
            <w:shd w:val="clear" w:color="auto" w:fill="EEFAEC"/>
          </w:tcPr>
          <w:p>
            <w:pPr>
              <w:jc w:val="right"/>
              <w:spacing w:after="0" w:line="183" w:lineRule="exact"/>
              <w:rPr>
                <w:sz w:val="20"/>
                <w:szCs w:val="20"/>
                <w:color w:val="auto"/>
              </w:rPr>
            </w:pPr>
            <w:r>
              <w:rPr>
                <w:rFonts w:ascii="Arial" w:cs="Arial" w:eastAsia="Arial" w:hAnsi="Arial"/>
                <w:sz w:val="16"/>
                <w:szCs w:val="16"/>
                <w:color w:val="auto"/>
              </w:rPr>
              <w:t>9,871</w:t>
            </w:r>
          </w:p>
        </w:tc>
        <w:tc>
          <w:tcPr>
            <w:tcW w:w="820" w:type="dxa"/>
            <w:vAlign w:val="bottom"/>
            <w:tcBorders>
              <w:bottom w:val="single" w:sz="8" w:color="431C5B"/>
            </w:tcBorders>
            <w:shd w:val="clear" w:color="auto" w:fill="EEFAEC"/>
          </w:tcPr>
          <w:p>
            <w:pPr>
              <w:jc w:val="right"/>
              <w:spacing w:after="0" w:line="183" w:lineRule="exact"/>
              <w:rPr>
                <w:sz w:val="20"/>
                <w:szCs w:val="20"/>
                <w:color w:val="auto"/>
              </w:rPr>
            </w:pPr>
            <w:r>
              <w:rPr>
                <w:rFonts w:ascii="Arial" w:cs="Arial" w:eastAsia="Arial" w:hAnsi="Arial"/>
                <w:sz w:val="16"/>
                <w:szCs w:val="16"/>
                <w:color w:val="auto"/>
              </w:rPr>
              <w:t>5.8%</w:t>
            </w:r>
          </w:p>
        </w:tc>
      </w:tr>
    </w:tbl>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Amounts in table may not sum or calculate due to rounding.</w:t>
      </w:r>
    </w:p>
    <w:p>
      <w:pPr>
        <w:spacing w:after="0" w:line="184" w:lineRule="exact"/>
        <w:rPr>
          <w:sz w:val="20"/>
          <w:szCs w:val="20"/>
          <w:color w:val="auto"/>
        </w:rPr>
      </w:pPr>
    </w:p>
    <w:p>
      <w:pPr>
        <w:ind w:left="420" w:hanging="290"/>
        <w:spacing w:after="0"/>
        <w:tabs>
          <w:tab w:leader="none" w:pos="420" w:val="left"/>
        </w:tabs>
        <w:numPr>
          <w:ilvl w:val="0"/>
          <w:numId w:val="144"/>
        </w:numPr>
        <w:rPr>
          <w:rFonts w:ascii="Arial" w:cs="Arial" w:eastAsia="Arial" w:hAnsi="Arial"/>
          <w:sz w:val="15"/>
          <w:szCs w:val="15"/>
          <w:color w:val="auto"/>
          <w:vertAlign w:val="superscript"/>
        </w:rPr>
      </w:pPr>
      <w:r>
        <w:rPr>
          <w:rFonts w:ascii="Arial" w:cs="Arial" w:eastAsia="Arial" w:hAnsi="Arial"/>
          <w:sz w:val="12"/>
          <w:szCs w:val="12"/>
          <w:color w:val="auto"/>
        </w:rPr>
        <w:t>Adjusted growth adjusts for the effects of exchange rate fluctuations and excludes Corporate and Other, which includes certain non-strategic businesses.</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25"/>
          <w:szCs w:val="25"/>
          <w:color w:val="431C5B"/>
        </w:rPr>
        <w:t>2. Adjusted EBITDA</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431C5B"/>
              </w:rPr>
              <w:t>Year Ended</w:t>
            </w:r>
          </w:p>
        </w:tc>
      </w:tr>
      <w:tr>
        <w:trPr>
          <w:trHeight w:val="185"/>
        </w:trPr>
        <w:tc>
          <w:tcPr>
            <w:tcW w:w="7380" w:type="dxa"/>
            <w:vAlign w:val="bottom"/>
          </w:tcPr>
          <w:p>
            <w:pPr>
              <w:spacing w:after="0"/>
              <w:rPr>
                <w:sz w:val="16"/>
                <w:szCs w:val="16"/>
                <w:color w:val="auto"/>
              </w:rPr>
            </w:pPr>
          </w:p>
        </w:tc>
        <w:tc>
          <w:tcPr>
            <w:tcW w:w="138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December 31,</w:t>
            </w:r>
          </w:p>
        </w:tc>
      </w:tr>
      <w:tr>
        <w:trPr>
          <w:trHeight w:val="196"/>
        </w:trPr>
        <w:tc>
          <w:tcPr>
            <w:tcW w:w="738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 in Millions)</w:t>
            </w:r>
          </w:p>
        </w:tc>
        <w:tc>
          <w:tcPr>
            <w:tcW w:w="138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2025</w:t>
            </w:r>
          </w:p>
        </w:tc>
      </w:tr>
      <w:tr>
        <w:trPr>
          <w:trHeight w:val="210"/>
        </w:trPr>
        <w:tc>
          <w:tcPr>
            <w:tcW w:w="738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color w:val="auto"/>
              </w:rPr>
              <w:t>Net earnings (loss) attributable to FIS from continuing operations</w:t>
            </w:r>
          </w:p>
        </w:tc>
        <w:tc>
          <w:tcPr>
            <w:tcW w:w="138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$ 382</w:t>
            </w:r>
          </w:p>
        </w:tc>
      </w:tr>
      <w:tr>
        <w:trPr>
          <w:trHeight w:val="210"/>
        </w:trPr>
        <w:tc>
          <w:tcPr>
            <w:tcW w:w="738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Provision (benefit) for income taxes</w:t>
            </w:r>
          </w:p>
        </w:tc>
        <w:tc>
          <w:tcPr>
            <w:tcW w:w="13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265</w:t>
            </w:r>
          </w:p>
        </w:tc>
      </w:tr>
      <w:tr>
        <w:trPr>
          <w:trHeight w:val="210"/>
        </w:trPr>
        <w:tc>
          <w:tcPr>
            <w:tcW w:w="738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color w:val="auto"/>
              </w:rPr>
              <w:t>Interest expense, net</w:t>
            </w:r>
          </w:p>
        </w:tc>
        <w:tc>
          <w:tcPr>
            <w:tcW w:w="138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367</w:t>
            </w:r>
          </w:p>
        </w:tc>
      </w:tr>
      <w:tr>
        <w:trPr>
          <w:trHeight w:val="209"/>
        </w:trPr>
        <w:tc>
          <w:tcPr>
            <w:tcW w:w="738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Equity method investment (earnings) loss, net of taxes</w:t>
            </w:r>
          </w:p>
        </w:tc>
        <w:tc>
          <w:tcPr>
            <w:tcW w:w="13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526</w:t>
            </w:r>
          </w:p>
        </w:tc>
      </w:tr>
      <w:tr>
        <w:trPr>
          <w:trHeight w:val="210"/>
        </w:trPr>
        <w:tc>
          <w:tcPr>
            <w:tcW w:w="738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color w:val="auto"/>
              </w:rPr>
              <w:t>Other, net</w:t>
            </w:r>
          </w:p>
        </w:tc>
        <w:tc>
          <w:tcPr>
            <w:tcW w:w="138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201</w:t>
            </w:r>
          </w:p>
        </w:tc>
      </w:tr>
      <w:tr>
        <w:trPr>
          <w:trHeight w:val="210"/>
        </w:trPr>
        <w:tc>
          <w:tcPr>
            <w:tcW w:w="738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Operating income (loss), as reported</w:t>
            </w:r>
          </w:p>
        </w:tc>
        <w:tc>
          <w:tcPr>
            <w:tcW w:w="13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1,741</w:t>
            </w:r>
          </w:p>
        </w:tc>
      </w:tr>
      <w:tr>
        <w:trPr>
          <w:trHeight w:val="210"/>
        </w:trPr>
        <w:tc>
          <w:tcPr>
            <w:tcW w:w="738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color w:val="auto"/>
              </w:rPr>
              <w:t>Depreciation and amortization, excluding purchase accounting amortization</w:t>
            </w:r>
          </w:p>
        </w:tc>
        <w:tc>
          <w:tcPr>
            <w:tcW w:w="138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1,215</w:t>
            </w:r>
          </w:p>
        </w:tc>
      </w:tr>
      <w:tr>
        <w:trPr>
          <w:trHeight w:val="209"/>
        </w:trPr>
        <w:tc>
          <w:tcPr>
            <w:tcW w:w="738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Non-GAAP adjustments:</w:t>
            </w:r>
          </w:p>
        </w:tc>
        <w:tc>
          <w:tcPr>
            <w:tcW w:w="1380" w:type="dxa"/>
            <w:vAlign w:val="bottom"/>
            <w:tcBorders>
              <w:bottom w:val="single" w:sz="8" w:color="E6E6E6"/>
            </w:tcBorders>
          </w:tcPr>
          <w:p>
            <w:pPr>
              <w:spacing w:after="0"/>
              <w:rPr>
                <w:sz w:val="18"/>
                <w:szCs w:val="18"/>
                <w:color w:val="auto"/>
              </w:rPr>
            </w:pPr>
          </w:p>
        </w:tc>
      </w:tr>
      <w:tr>
        <w:trPr>
          <w:trHeight w:val="210"/>
        </w:trPr>
        <w:tc>
          <w:tcPr>
            <w:tcW w:w="7380" w:type="dxa"/>
            <w:vAlign w:val="bottom"/>
            <w:tcBorders>
              <w:bottom w:val="single" w:sz="8" w:color="E6E6E6"/>
            </w:tcBorders>
            <w:shd w:val="clear" w:color="auto" w:fill="EEFAEC"/>
          </w:tcPr>
          <w:p>
            <w:pPr>
              <w:ind w:left="280"/>
              <w:spacing w:after="0" w:line="210" w:lineRule="exact"/>
              <w:rPr>
                <w:sz w:val="20"/>
                <w:szCs w:val="20"/>
                <w:color w:val="auto"/>
              </w:rPr>
            </w:pPr>
            <w:r>
              <w:rPr>
                <w:rFonts w:ascii="Arial" w:cs="Arial" w:eastAsia="Arial" w:hAnsi="Arial"/>
                <w:sz w:val="16"/>
                <w:szCs w:val="16"/>
                <w:color w:val="auto"/>
              </w:rPr>
              <w:t>Purchase accounting amortization</w:t>
            </w:r>
            <w:r>
              <w:rPr>
                <w:rFonts w:ascii="Arial" w:cs="Arial" w:eastAsia="Arial" w:hAnsi="Arial"/>
                <w:sz w:val="21"/>
                <w:szCs w:val="21"/>
                <w:color w:val="auto"/>
                <w:vertAlign w:val="superscript"/>
              </w:rPr>
              <w:t>(1)</w:t>
            </w:r>
          </w:p>
        </w:tc>
        <w:tc>
          <w:tcPr>
            <w:tcW w:w="138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668</w:t>
            </w:r>
          </w:p>
        </w:tc>
      </w:tr>
      <w:tr>
        <w:trPr>
          <w:trHeight w:val="210"/>
        </w:trPr>
        <w:tc>
          <w:tcPr>
            <w:tcW w:w="7380" w:type="dxa"/>
            <w:vAlign w:val="bottom"/>
            <w:tcBorders>
              <w:bottom w:val="single" w:sz="8" w:color="E6E6E6"/>
            </w:tcBorders>
          </w:tcPr>
          <w:p>
            <w:pPr>
              <w:ind w:left="280"/>
              <w:spacing w:after="0" w:line="210" w:lineRule="exact"/>
              <w:rPr>
                <w:sz w:val="20"/>
                <w:szCs w:val="20"/>
                <w:color w:val="auto"/>
              </w:rPr>
            </w:pPr>
            <w:r>
              <w:rPr>
                <w:rFonts w:ascii="Arial" w:cs="Arial" w:eastAsia="Arial" w:hAnsi="Arial"/>
                <w:sz w:val="16"/>
                <w:szCs w:val="16"/>
                <w:color w:val="auto"/>
              </w:rPr>
              <w:t>Acquisition, integration and other costs</w:t>
            </w:r>
            <w:r>
              <w:rPr>
                <w:rFonts w:ascii="Arial" w:cs="Arial" w:eastAsia="Arial" w:hAnsi="Arial"/>
                <w:sz w:val="21"/>
                <w:szCs w:val="21"/>
                <w:color w:val="auto"/>
                <w:vertAlign w:val="superscript"/>
              </w:rPr>
              <w:t>(2)</w:t>
            </w:r>
          </w:p>
        </w:tc>
        <w:tc>
          <w:tcPr>
            <w:tcW w:w="13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689</w:t>
            </w:r>
          </w:p>
        </w:tc>
      </w:tr>
      <w:tr>
        <w:trPr>
          <w:trHeight w:val="210"/>
        </w:trPr>
        <w:tc>
          <w:tcPr>
            <w:tcW w:w="7380" w:type="dxa"/>
            <w:vAlign w:val="bottom"/>
            <w:tcBorders>
              <w:bottom w:val="single" w:sz="8" w:color="E6E6E6"/>
            </w:tcBorders>
            <w:shd w:val="clear" w:color="auto" w:fill="EEFAEC"/>
          </w:tcPr>
          <w:p>
            <w:pPr>
              <w:ind w:left="280"/>
              <w:spacing w:after="0" w:line="210" w:lineRule="exact"/>
              <w:rPr>
                <w:sz w:val="20"/>
                <w:szCs w:val="20"/>
                <w:color w:val="auto"/>
              </w:rPr>
            </w:pPr>
            <w:r>
              <w:rPr>
                <w:rFonts w:ascii="Arial" w:cs="Arial" w:eastAsia="Arial" w:hAnsi="Arial"/>
                <w:sz w:val="16"/>
                <w:szCs w:val="16"/>
                <w:color w:val="auto"/>
              </w:rPr>
              <w:t>Asset impairments</w:t>
            </w:r>
            <w:r>
              <w:rPr>
                <w:rFonts w:ascii="Arial" w:cs="Arial" w:eastAsia="Arial" w:hAnsi="Arial"/>
                <w:sz w:val="21"/>
                <w:szCs w:val="21"/>
                <w:color w:val="auto"/>
                <w:vertAlign w:val="superscript"/>
              </w:rPr>
              <w:t>(3)</w:t>
            </w:r>
          </w:p>
        </w:tc>
        <w:tc>
          <w:tcPr>
            <w:tcW w:w="138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7380" w:type="dxa"/>
            <w:vAlign w:val="bottom"/>
          </w:tcPr>
          <w:p>
            <w:pPr>
              <w:ind w:left="280"/>
              <w:spacing w:after="0"/>
              <w:rPr>
                <w:sz w:val="20"/>
                <w:szCs w:val="20"/>
                <w:color w:val="auto"/>
              </w:rPr>
            </w:pPr>
            <w:r>
              <w:rPr>
                <w:rFonts w:ascii="Arial" w:cs="Arial" w:eastAsia="Arial" w:hAnsi="Arial"/>
                <w:sz w:val="16"/>
                <w:szCs w:val="16"/>
                <w:color w:val="auto"/>
              </w:rPr>
              <w:t>Adjusted EBITDA from continuing operations</w:t>
            </w:r>
          </w:p>
        </w:tc>
        <w:tc>
          <w:tcPr>
            <w:tcW w:w="138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4,331</w:t>
            </w:r>
          </w:p>
        </w:tc>
      </w:tr>
      <w:tr>
        <w:trPr>
          <w:trHeight w:val="34"/>
        </w:trPr>
        <w:tc>
          <w:tcPr>
            <w:tcW w:w="7380" w:type="dxa"/>
            <w:vAlign w:val="bottom"/>
            <w:tcBorders>
              <w:bottom w:val="single" w:sz="8" w:color="431C5B"/>
            </w:tcBorders>
          </w:tcPr>
          <w:p>
            <w:pPr>
              <w:spacing w:after="0"/>
              <w:rPr>
                <w:sz w:val="2"/>
                <w:szCs w:val="2"/>
                <w:color w:val="auto"/>
              </w:rPr>
            </w:pPr>
          </w:p>
        </w:tc>
        <w:tc>
          <w:tcPr>
            <w:tcW w:w="1380" w:type="dxa"/>
            <w:vAlign w:val="bottom"/>
            <w:tcBorders>
              <w:bottom w:val="single" w:sz="8" w:color="431C5B"/>
            </w:tcBorders>
          </w:tcPr>
          <w:p>
            <w:pPr>
              <w:spacing w:after="0"/>
              <w:rPr>
                <w:sz w:val="2"/>
                <w:szCs w:val="2"/>
                <w:color w:val="auto"/>
              </w:rPr>
            </w:pPr>
          </w:p>
        </w:tc>
      </w:tr>
    </w:tbl>
    <w:p>
      <w:pPr>
        <w:spacing w:after="0" w:line="26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See notes under schedule 3 (Adjusted Net Earnings and Adjusted EPS) below.</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hanging="429"/>
        <w:spacing w:after="0"/>
        <w:tabs>
          <w:tab w:leader="none" w:pos="620" w:val="left"/>
        </w:tabs>
        <w:numPr>
          <w:ilvl w:val="0"/>
          <w:numId w:val="145"/>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1440" w:right="1440" w:bottom="1440" w:gutter="0" w:footer="0" w:header="0"/>
          <w:type w:val="continuous"/>
        </w:sectPr>
      </w:pPr>
    </w:p>
    <w:bookmarkStart w:id="105" w:name="page106"/>
    <w:bookmarkEnd w:id="105"/>
    <w:tbl>
      <w:tblPr>
        <w:tblLayout w:type="fixed"/>
        <w:tblInd w:w="120" w:type="dxa"/>
        <w:tblCellMar>
          <w:top w:w="0" w:type="dxa"/>
          <w:left w:w="0" w:type="dxa"/>
          <w:bottom w:w="0" w:type="dxa"/>
          <w:right w:w="0" w:type="dxa"/>
        </w:tblCellMar>
      </w:tblPr>
      <w:tr>
        <w:trPr>
          <w:trHeight w:val="196"/>
        </w:trPr>
        <w:tc>
          <w:tcPr>
            <w:tcW w:w="74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431C5B"/>
              </w:rPr>
              <w:t>Appendix A</w:t>
            </w:r>
          </w:p>
        </w:tc>
        <w:tc>
          <w:tcPr>
            <w:tcW w:w="0" w:type="dxa"/>
            <w:vAlign w:val="bottom"/>
          </w:tcPr>
          <w:p>
            <w:pPr>
              <w:spacing w:after="0"/>
              <w:rPr>
                <w:sz w:val="1"/>
                <w:szCs w:val="1"/>
                <w:color w:val="auto"/>
              </w:rPr>
            </w:pPr>
          </w:p>
        </w:tc>
      </w:tr>
      <w:tr>
        <w:trPr>
          <w:trHeight w:val="690"/>
        </w:trPr>
        <w:tc>
          <w:tcPr>
            <w:tcW w:w="7400" w:type="dxa"/>
            <w:vAlign w:val="bottom"/>
          </w:tcPr>
          <w:p>
            <w:pPr>
              <w:ind w:left="20"/>
              <w:spacing w:after="0"/>
              <w:rPr>
                <w:sz w:val="20"/>
                <w:szCs w:val="20"/>
                <w:color w:val="auto"/>
              </w:rPr>
            </w:pPr>
            <w:r>
              <w:rPr>
                <w:rFonts w:ascii="Arial" w:cs="Arial" w:eastAsia="Arial" w:hAnsi="Arial"/>
                <w:sz w:val="25"/>
                <w:szCs w:val="25"/>
                <w:color w:val="431C5B"/>
              </w:rPr>
              <w:t>3. Adjusted Net Earnings and Adjusted EPS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40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431C5B"/>
              </w:rPr>
              <w:t>Year Ended</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1360" w:type="dxa"/>
            <w:vAlign w:val="bottom"/>
            <w:tcBorders>
              <w:bottom w:val="single" w:sz="8" w:color="431C5B"/>
            </w:tcBorders>
            <w:gridSpan w:val="2"/>
          </w:tcPr>
          <w:p>
            <w:pPr>
              <w:jc w:val="center"/>
              <w:spacing w:after="0"/>
              <w:rPr>
                <w:sz w:val="20"/>
                <w:szCs w:val="20"/>
                <w:color w:val="auto"/>
              </w:rPr>
            </w:pPr>
            <w:r>
              <w:rPr>
                <w:rFonts w:ascii="Arial" w:cs="Arial" w:eastAsia="Arial" w:hAnsi="Arial"/>
                <w:sz w:val="14"/>
                <w:szCs w:val="14"/>
                <w:b w:val="1"/>
                <w:bCs w:val="1"/>
                <w:color w:val="431C5B"/>
              </w:rPr>
              <w:t>December 31,</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 in Millions)</w:t>
            </w:r>
          </w:p>
        </w:tc>
        <w:tc>
          <w:tcPr>
            <w:tcW w:w="1360" w:type="dxa"/>
            <w:vAlign w:val="bottom"/>
            <w:tcBorders>
              <w:bottom w:val="single" w:sz="8" w:color="431C5B"/>
            </w:tcBorders>
            <w:gridSpan w:val="2"/>
          </w:tcPr>
          <w:p>
            <w:pPr>
              <w:jc w:val="center"/>
              <w:spacing w:after="0"/>
              <w:rPr>
                <w:sz w:val="20"/>
                <w:szCs w:val="20"/>
                <w:color w:val="auto"/>
              </w:rPr>
            </w:pPr>
            <w:r>
              <w:rPr>
                <w:rFonts w:ascii="Arial" w:cs="Arial" w:eastAsia="Arial" w:hAnsi="Arial"/>
                <w:sz w:val="14"/>
                <w:szCs w:val="14"/>
                <w:b w:val="1"/>
                <w:bCs w:val="1"/>
                <w:color w:val="431C5B"/>
              </w:rPr>
              <w:t>2025</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color w:val="auto"/>
              </w:rPr>
              <w:t>Earnings (loss) attributable to FIS from continuing operations</w:t>
            </w:r>
          </w:p>
        </w:tc>
        <w:tc>
          <w:tcPr>
            <w:tcW w:w="136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6"/>
                <w:szCs w:val="16"/>
                <w:color w:val="auto"/>
              </w:rPr>
              <w:t>$  382</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Equity method investment (earnings) loss, net of tax</w:t>
            </w:r>
          </w:p>
        </w:tc>
        <w:tc>
          <w:tcPr>
            <w:tcW w:w="1360" w:type="dxa"/>
            <w:vAlign w:val="bottom"/>
            <w:tcBorders>
              <w:bottom w:val="single" w:sz="8" w:color="431C5B"/>
            </w:tcBorders>
            <w:gridSpan w:val="2"/>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09"/>
        </w:trPr>
        <w:tc>
          <w:tcPr>
            <w:tcW w:w="7400" w:type="dxa"/>
            <w:vAlign w:val="bottom"/>
            <w:shd w:val="clear" w:color="auto" w:fill="EEFAEC"/>
          </w:tcPr>
          <w:p>
            <w:pPr>
              <w:ind w:left="80"/>
              <w:spacing w:after="0"/>
              <w:rPr>
                <w:sz w:val="20"/>
                <w:szCs w:val="20"/>
                <w:color w:val="auto"/>
              </w:rPr>
            </w:pPr>
            <w:r>
              <w:rPr>
                <w:rFonts w:ascii="Arial" w:cs="Arial" w:eastAsia="Arial" w:hAnsi="Arial"/>
                <w:sz w:val="16"/>
                <w:szCs w:val="16"/>
                <w:color w:val="auto"/>
              </w:rPr>
              <w:t>Earnings (loss) attributable to FIS from continuing operations, excluding equity method investment</w:t>
            </w:r>
          </w:p>
        </w:tc>
        <w:tc>
          <w:tcPr>
            <w:tcW w:w="1360" w:type="dxa"/>
            <w:vAlign w:val="bottom"/>
            <w:gridSpan w:val="2"/>
            <w:vMerge w:val="restart"/>
            <w:shd w:val="clear" w:color="auto" w:fill="EEFAEC"/>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120"/>
        </w:trPr>
        <w:tc>
          <w:tcPr>
            <w:tcW w:w="7400" w:type="dxa"/>
            <w:vAlign w:val="bottom"/>
            <w:vMerge w:val="restart"/>
            <w:shd w:val="clear" w:color="auto" w:fill="EEFAEC"/>
          </w:tcPr>
          <w:p>
            <w:pPr>
              <w:ind w:left="80"/>
              <w:spacing w:after="0"/>
              <w:rPr>
                <w:sz w:val="20"/>
                <w:szCs w:val="20"/>
                <w:color w:val="auto"/>
              </w:rPr>
            </w:pPr>
            <w:r>
              <w:rPr>
                <w:rFonts w:ascii="Arial" w:cs="Arial" w:eastAsia="Arial" w:hAnsi="Arial"/>
                <w:sz w:val="16"/>
                <w:szCs w:val="16"/>
                <w:color w:val="auto"/>
              </w:rPr>
              <w:t>earnings (loss)</w:t>
            </w:r>
          </w:p>
        </w:tc>
        <w:tc>
          <w:tcPr>
            <w:tcW w:w="1360" w:type="dxa"/>
            <w:vAlign w:val="bottom"/>
            <w:gridSpan w:val="2"/>
            <w:vMerge w:val="continue"/>
            <w:shd w:val="clear" w:color="auto" w:fill="EEFAEC"/>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7400" w:type="dxa"/>
            <w:vAlign w:val="bottom"/>
            <w:tcBorders>
              <w:bottom w:val="single" w:sz="8" w:color="E6E6E6"/>
            </w:tcBorders>
            <w:vMerge w:val="continue"/>
            <w:shd w:val="clear" w:color="auto" w:fill="EEFAEC"/>
          </w:tcPr>
          <w:p>
            <w:pPr>
              <w:spacing w:after="0"/>
              <w:rPr>
                <w:sz w:val="7"/>
                <w:szCs w:val="7"/>
                <w:color w:val="auto"/>
              </w:rPr>
            </w:pPr>
          </w:p>
        </w:tc>
        <w:tc>
          <w:tcPr>
            <w:tcW w:w="720" w:type="dxa"/>
            <w:vAlign w:val="bottom"/>
            <w:tcBorders>
              <w:bottom w:val="single" w:sz="8" w:color="E6E6E6"/>
            </w:tcBorders>
            <w:shd w:val="clear" w:color="auto" w:fill="EEFAEC"/>
          </w:tcPr>
          <w:p>
            <w:pPr>
              <w:spacing w:after="0"/>
              <w:rPr>
                <w:sz w:val="7"/>
                <w:szCs w:val="7"/>
                <w:color w:val="auto"/>
              </w:rPr>
            </w:pPr>
          </w:p>
        </w:tc>
        <w:tc>
          <w:tcPr>
            <w:tcW w:w="640" w:type="dxa"/>
            <w:vAlign w:val="bottom"/>
            <w:tcBorders>
              <w:bottom w:val="single" w:sz="8" w:color="E6E6E6"/>
            </w:tcBorders>
            <w:shd w:val="clear" w:color="auto" w:fill="EEFAEC"/>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Non-GAAP adjustments from continuing operations:</w:t>
            </w:r>
          </w:p>
        </w:tc>
        <w:tc>
          <w:tcPr>
            <w:tcW w:w="720" w:type="dxa"/>
            <w:vAlign w:val="bottom"/>
            <w:tcBorders>
              <w:bottom w:val="single" w:sz="8" w:color="E6E6E6"/>
            </w:tcBorders>
          </w:tcPr>
          <w:p>
            <w:pPr>
              <w:spacing w:after="0"/>
              <w:rPr>
                <w:sz w:val="18"/>
                <w:szCs w:val="18"/>
                <w:color w:val="auto"/>
              </w:rPr>
            </w:pPr>
          </w:p>
        </w:tc>
        <w:tc>
          <w:tcPr>
            <w:tcW w:w="64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E6E6E6"/>
            </w:tcBorders>
            <w:shd w:val="clear" w:color="auto" w:fill="EEFAEC"/>
          </w:tcPr>
          <w:p>
            <w:pPr>
              <w:ind w:left="280"/>
              <w:spacing w:after="0" w:line="210" w:lineRule="exact"/>
              <w:rPr>
                <w:sz w:val="20"/>
                <w:szCs w:val="20"/>
                <w:color w:val="auto"/>
              </w:rPr>
            </w:pPr>
            <w:r>
              <w:rPr>
                <w:rFonts w:ascii="Arial" w:cs="Arial" w:eastAsia="Arial" w:hAnsi="Arial"/>
                <w:sz w:val="16"/>
                <w:szCs w:val="16"/>
                <w:color w:val="auto"/>
              </w:rPr>
              <w:t xml:space="preserve">Purchase accounting amortization </w:t>
            </w:r>
            <w:r>
              <w:rPr>
                <w:rFonts w:ascii="Arial" w:cs="Arial" w:eastAsia="Arial" w:hAnsi="Arial"/>
                <w:sz w:val="21"/>
                <w:szCs w:val="21"/>
                <w:color w:val="auto"/>
                <w:vertAlign w:val="superscript"/>
              </w:rPr>
              <w:t>(1)</w:t>
            </w:r>
          </w:p>
        </w:tc>
        <w:tc>
          <w:tcPr>
            <w:tcW w:w="136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tcPr>
          <w:p>
            <w:pPr>
              <w:ind w:left="280"/>
              <w:spacing w:after="0" w:line="210" w:lineRule="exact"/>
              <w:rPr>
                <w:sz w:val="20"/>
                <w:szCs w:val="20"/>
                <w:color w:val="auto"/>
              </w:rPr>
            </w:pPr>
            <w:r>
              <w:rPr>
                <w:rFonts w:ascii="Arial" w:cs="Arial" w:eastAsia="Arial" w:hAnsi="Arial"/>
                <w:sz w:val="16"/>
                <w:szCs w:val="16"/>
                <w:color w:val="auto"/>
              </w:rPr>
              <w:t xml:space="preserve">Acquisition, integration and other costs </w:t>
            </w:r>
            <w:r>
              <w:rPr>
                <w:rFonts w:ascii="Arial" w:cs="Arial" w:eastAsia="Arial" w:hAnsi="Arial"/>
                <w:sz w:val="21"/>
                <w:szCs w:val="21"/>
                <w:color w:val="auto"/>
                <w:vertAlign w:val="superscript"/>
              </w:rPr>
              <w:t>(2)</w:t>
            </w:r>
          </w:p>
        </w:tc>
        <w:tc>
          <w:tcPr>
            <w:tcW w:w="1360" w:type="dxa"/>
            <w:vAlign w:val="bottom"/>
            <w:tcBorders>
              <w:bottom w:val="single" w:sz="8" w:color="E6E6E6"/>
            </w:tcBorders>
            <w:gridSpan w:val="2"/>
          </w:tcPr>
          <w:p>
            <w:pPr>
              <w:jc w:val="right"/>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shd w:val="clear" w:color="auto" w:fill="EEFAEC"/>
          </w:tcPr>
          <w:p>
            <w:pPr>
              <w:ind w:left="280"/>
              <w:spacing w:after="0" w:line="210" w:lineRule="exact"/>
              <w:rPr>
                <w:sz w:val="20"/>
                <w:szCs w:val="20"/>
                <w:color w:val="auto"/>
              </w:rPr>
            </w:pPr>
            <w:r>
              <w:rPr>
                <w:rFonts w:ascii="Arial" w:cs="Arial" w:eastAsia="Arial" w:hAnsi="Arial"/>
                <w:sz w:val="16"/>
                <w:szCs w:val="16"/>
                <w:color w:val="auto"/>
              </w:rPr>
              <w:t xml:space="preserve">Asset impairments </w:t>
            </w:r>
            <w:r>
              <w:rPr>
                <w:rFonts w:ascii="Arial" w:cs="Arial" w:eastAsia="Arial" w:hAnsi="Arial"/>
                <w:sz w:val="21"/>
                <w:szCs w:val="21"/>
                <w:color w:val="auto"/>
                <w:vertAlign w:val="superscript"/>
              </w:rPr>
              <w:t>(3)</w:t>
            </w:r>
          </w:p>
        </w:tc>
        <w:tc>
          <w:tcPr>
            <w:tcW w:w="136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E6E6E6"/>
            </w:tcBorders>
          </w:tcPr>
          <w:p>
            <w:pPr>
              <w:ind w:left="280"/>
              <w:spacing w:after="0" w:line="210" w:lineRule="exact"/>
              <w:rPr>
                <w:sz w:val="20"/>
                <w:szCs w:val="20"/>
                <w:color w:val="auto"/>
              </w:rPr>
            </w:pPr>
            <w:r>
              <w:rPr>
                <w:rFonts w:ascii="Arial" w:cs="Arial" w:eastAsia="Arial" w:hAnsi="Arial"/>
                <w:sz w:val="16"/>
                <w:szCs w:val="16"/>
                <w:color w:val="auto"/>
              </w:rPr>
              <w:t xml:space="preserve">Non-operating (income) expense </w:t>
            </w:r>
            <w:r>
              <w:rPr>
                <w:rFonts w:ascii="Arial" w:cs="Arial" w:eastAsia="Arial" w:hAnsi="Arial"/>
                <w:sz w:val="21"/>
                <w:szCs w:val="21"/>
                <w:color w:val="auto"/>
                <w:vertAlign w:val="superscript"/>
              </w:rPr>
              <w:t>(4)</w:t>
            </w:r>
          </w:p>
        </w:tc>
        <w:tc>
          <w:tcPr>
            <w:tcW w:w="1360" w:type="dxa"/>
            <w:vAlign w:val="bottom"/>
            <w:tcBorders>
              <w:bottom w:val="single" w:sz="8" w:color="E6E6E6"/>
            </w:tcBorders>
            <w:gridSpan w:val="2"/>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shd w:val="clear" w:color="auto" w:fill="EEFAEC"/>
          </w:tcPr>
          <w:p>
            <w:pPr>
              <w:ind w:left="280"/>
              <w:spacing w:after="0" w:line="210" w:lineRule="exact"/>
              <w:rPr>
                <w:sz w:val="20"/>
                <w:szCs w:val="20"/>
                <w:color w:val="auto"/>
              </w:rPr>
            </w:pPr>
            <w:r>
              <w:rPr>
                <w:rFonts w:ascii="Arial" w:cs="Arial" w:eastAsia="Arial" w:hAnsi="Arial"/>
                <w:sz w:val="16"/>
                <w:szCs w:val="16"/>
                <w:color w:val="auto"/>
              </w:rPr>
              <w:t xml:space="preserve">Non-GAAP tax (provision) benefit </w:t>
            </w:r>
            <w:r>
              <w:rPr>
                <w:rFonts w:ascii="Arial" w:cs="Arial" w:eastAsia="Arial" w:hAnsi="Arial"/>
                <w:sz w:val="21"/>
                <w:szCs w:val="21"/>
                <w:color w:val="auto"/>
                <w:vertAlign w:val="superscript"/>
              </w:rPr>
              <w:t>(5)</w:t>
            </w:r>
          </w:p>
        </w:tc>
        <w:tc>
          <w:tcPr>
            <w:tcW w:w="1360" w:type="dxa"/>
            <w:vAlign w:val="bottom"/>
            <w:tcBorders>
              <w:bottom w:val="single" w:sz="8" w:color="431C5B"/>
            </w:tcBorders>
            <w:gridSpan w:val="2"/>
            <w:shd w:val="clear" w:color="auto" w:fill="EEFAEC"/>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Total non-GAAP adjustments from continuing operations</w:t>
            </w:r>
          </w:p>
        </w:tc>
        <w:tc>
          <w:tcPr>
            <w:tcW w:w="1360" w:type="dxa"/>
            <w:vAlign w:val="bottom"/>
            <w:tcBorders>
              <w:bottom w:val="single" w:sz="8" w:color="431C5B"/>
            </w:tcBorders>
            <w:gridSpan w:val="2"/>
          </w:tcPr>
          <w:p>
            <w:pPr>
              <w:jc w:val="right"/>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09"/>
        </w:trPr>
        <w:tc>
          <w:tcPr>
            <w:tcW w:w="7400" w:type="dxa"/>
            <w:vAlign w:val="bottom"/>
            <w:shd w:val="clear" w:color="auto" w:fill="EEFAEC"/>
          </w:tcPr>
          <w:p>
            <w:pPr>
              <w:ind w:left="80"/>
              <w:spacing w:after="0"/>
              <w:rPr>
                <w:sz w:val="20"/>
                <w:szCs w:val="20"/>
                <w:color w:val="auto"/>
              </w:rPr>
            </w:pPr>
            <w:r>
              <w:rPr>
                <w:rFonts w:ascii="Arial" w:cs="Arial" w:eastAsia="Arial" w:hAnsi="Arial"/>
                <w:sz w:val="16"/>
                <w:szCs w:val="16"/>
                <w:color w:val="auto"/>
              </w:rPr>
              <w:t>Adjusted net earnings attributable to FIS from continuing operations, excluding equity method</w:t>
            </w:r>
          </w:p>
        </w:tc>
        <w:tc>
          <w:tcPr>
            <w:tcW w:w="1360" w:type="dxa"/>
            <w:vAlign w:val="bottom"/>
            <w:gridSpan w:val="2"/>
            <w:vMerge w:val="restart"/>
            <w:shd w:val="clear" w:color="auto" w:fill="EEFAEC"/>
          </w:tcPr>
          <w:p>
            <w:pPr>
              <w:jc w:val="right"/>
              <w:spacing w:after="0"/>
              <w:rPr>
                <w:sz w:val="20"/>
                <w:szCs w:val="20"/>
                <w:color w:val="auto"/>
              </w:rPr>
            </w:pPr>
            <w:r>
              <w:rPr>
                <w:rFonts w:ascii="Arial" w:cs="Arial" w:eastAsia="Arial" w:hAnsi="Arial"/>
                <w:sz w:val="16"/>
                <w:szCs w:val="16"/>
                <w:color w:val="auto"/>
              </w:rPr>
              <w:t>2,462</w:t>
            </w:r>
          </w:p>
        </w:tc>
        <w:tc>
          <w:tcPr>
            <w:tcW w:w="0" w:type="dxa"/>
            <w:vAlign w:val="bottom"/>
          </w:tcPr>
          <w:p>
            <w:pPr>
              <w:spacing w:after="0"/>
              <w:rPr>
                <w:sz w:val="1"/>
                <w:szCs w:val="1"/>
                <w:color w:val="auto"/>
              </w:rPr>
            </w:pPr>
          </w:p>
        </w:tc>
      </w:tr>
      <w:tr>
        <w:trPr>
          <w:trHeight w:val="120"/>
        </w:trPr>
        <w:tc>
          <w:tcPr>
            <w:tcW w:w="7400" w:type="dxa"/>
            <w:vAlign w:val="bottom"/>
            <w:vMerge w:val="restart"/>
            <w:shd w:val="clear" w:color="auto" w:fill="EEFAEC"/>
          </w:tcPr>
          <w:p>
            <w:pPr>
              <w:ind w:left="80"/>
              <w:spacing w:after="0"/>
              <w:rPr>
                <w:sz w:val="20"/>
                <w:szCs w:val="20"/>
                <w:color w:val="auto"/>
              </w:rPr>
            </w:pPr>
            <w:r>
              <w:rPr>
                <w:rFonts w:ascii="Arial" w:cs="Arial" w:eastAsia="Arial" w:hAnsi="Arial"/>
                <w:sz w:val="16"/>
                <w:szCs w:val="16"/>
                <w:color w:val="auto"/>
              </w:rPr>
              <w:t>investment earnings (loss)</w:t>
            </w:r>
          </w:p>
        </w:tc>
        <w:tc>
          <w:tcPr>
            <w:tcW w:w="1360" w:type="dxa"/>
            <w:vAlign w:val="bottom"/>
            <w:gridSpan w:val="2"/>
            <w:vMerge w:val="continue"/>
            <w:shd w:val="clear" w:color="auto" w:fill="EEFAEC"/>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7400" w:type="dxa"/>
            <w:vAlign w:val="bottom"/>
            <w:tcBorders>
              <w:bottom w:val="single" w:sz="8" w:color="E6E6E6"/>
            </w:tcBorders>
            <w:vMerge w:val="continue"/>
            <w:shd w:val="clear" w:color="auto" w:fill="EEFAEC"/>
          </w:tcPr>
          <w:p>
            <w:pPr>
              <w:spacing w:after="0"/>
              <w:rPr>
                <w:sz w:val="7"/>
                <w:szCs w:val="7"/>
                <w:color w:val="auto"/>
              </w:rPr>
            </w:pPr>
          </w:p>
        </w:tc>
        <w:tc>
          <w:tcPr>
            <w:tcW w:w="720" w:type="dxa"/>
            <w:vAlign w:val="bottom"/>
            <w:tcBorders>
              <w:bottom w:val="single" w:sz="8" w:color="E6E6E6"/>
            </w:tcBorders>
            <w:shd w:val="clear" w:color="auto" w:fill="EEFAEC"/>
          </w:tcPr>
          <w:p>
            <w:pPr>
              <w:spacing w:after="0"/>
              <w:rPr>
                <w:sz w:val="7"/>
                <w:szCs w:val="7"/>
                <w:color w:val="auto"/>
              </w:rPr>
            </w:pPr>
          </w:p>
        </w:tc>
        <w:tc>
          <w:tcPr>
            <w:tcW w:w="640" w:type="dxa"/>
            <w:vAlign w:val="bottom"/>
            <w:tcBorders>
              <w:bottom w:val="single" w:sz="8" w:color="E6E6E6"/>
            </w:tcBorders>
            <w:shd w:val="clear" w:color="auto" w:fill="EEFAEC"/>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tcPr>
          <w:p>
            <w:pPr>
              <w:ind w:left="80"/>
              <w:spacing w:after="0" w:line="210" w:lineRule="exact"/>
              <w:rPr>
                <w:sz w:val="20"/>
                <w:szCs w:val="20"/>
                <w:color w:val="auto"/>
              </w:rPr>
            </w:pPr>
            <w:r>
              <w:rPr>
                <w:rFonts w:ascii="Arial" w:cs="Arial" w:eastAsia="Arial" w:hAnsi="Arial"/>
                <w:sz w:val="16"/>
                <w:szCs w:val="16"/>
                <w:color w:val="auto"/>
              </w:rPr>
              <w:t xml:space="preserve">Equity method investment earnings (loss), net of tax </w:t>
            </w:r>
            <w:r>
              <w:rPr>
                <w:rFonts w:ascii="Arial" w:cs="Arial" w:eastAsia="Arial" w:hAnsi="Arial"/>
                <w:sz w:val="21"/>
                <w:szCs w:val="21"/>
                <w:color w:val="auto"/>
                <w:vertAlign w:val="superscript"/>
              </w:rPr>
              <w:t>(6)</w:t>
            </w:r>
          </w:p>
        </w:tc>
        <w:tc>
          <w:tcPr>
            <w:tcW w:w="1360" w:type="dxa"/>
            <w:vAlign w:val="bottom"/>
            <w:tcBorders>
              <w:bottom w:val="single" w:sz="8" w:color="E6E6E6"/>
            </w:tcBorders>
            <w:gridSpan w:val="2"/>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199"/>
        </w:trPr>
        <w:tc>
          <w:tcPr>
            <w:tcW w:w="7400" w:type="dxa"/>
            <w:vAlign w:val="bottom"/>
            <w:shd w:val="clear" w:color="auto" w:fill="EEFAEC"/>
          </w:tcPr>
          <w:p>
            <w:pPr>
              <w:ind w:left="80"/>
              <w:spacing w:after="0"/>
              <w:rPr>
                <w:sz w:val="20"/>
                <w:szCs w:val="20"/>
                <w:color w:val="auto"/>
              </w:rPr>
            </w:pPr>
            <w:r>
              <w:rPr>
                <w:rFonts w:ascii="Arial" w:cs="Arial" w:eastAsia="Arial" w:hAnsi="Arial"/>
                <w:sz w:val="16"/>
                <w:szCs w:val="16"/>
                <w:color w:val="auto"/>
              </w:rPr>
              <w:t>Non-GAAP adjustments on equity method investment earnings (loss), net of related (provision) benefit</w:t>
            </w:r>
          </w:p>
        </w:tc>
        <w:tc>
          <w:tcPr>
            <w:tcW w:w="1360" w:type="dxa"/>
            <w:vAlign w:val="bottom"/>
            <w:gridSpan w:val="2"/>
            <w:vMerge w:val="restart"/>
            <w:shd w:val="clear" w:color="auto" w:fill="EEFAEC"/>
          </w:tcPr>
          <w:p>
            <w:pPr>
              <w:jc w:val="right"/>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E6E6E6"/>
            </w:tcBorders>
            <w:shd w:val="clear" w:color="auto" w:fill="EEFAEC"/>
          </w:tcPr>
          <w:p>
            <w:pPr>
              <w:ind w:left="80"/>
              <w:spacing w:after="0" w:line="213" w:lineRule="exact"/>
              <w:rPr>
                <w:sz w:val="20"/>
                <w:szCs w:val="20"/>
                <w:color w:val="auto"/>
              </w:rPr>
            </w:pPr>
            <w:r>
              <w:rPr>
                <w:rFonts w:ascii="Arial" w:cs="Arial" w:eastAsia="Arial" w:hAnsi="Arial"/>
                <w:sz w:val="16"/>
                <w:szCs w:val="16"/>
                <w:color w:val="auto"/>
              </w:rPr>
              <w:t xml:space="preserve">for income taxes </w:t>
            </w:r>
            <w:r>
              <w:rPr>
                <w:rFonts w:ascii="Arial" w:cs="Arial" w:eastAsia="Arial" w:hAnsi="Arial"/>
                <w:sz w:val="21"/>
                <w:szCs w:val="21"/>
                <w:color w:val="auto"/>
                <w:vertAlign w:val="superscript"/>
              </w:rPr>
              <w:t>(6) (7)</w:t>
            </w:r>
          </w:p>
        </w:tc>
        <w:tc>
          <w:tcPr>
            <w:tcW w:w="1360" w:type="dxa"/>
            <w:vAlign w:val="bottom"/>
            <w:tcBorders>
              <w:bottom w:val="single" w:sz="8" w:color="431C5B"/>
            </w:tcBorders>
            <w:gridSpan w:val="2"/>
            <w:vMerge w:val="continue"/>
            <w:shd w:val="clear" w:color="auto" w:fill="EEFAE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tcPr>
          <w:p>
            <w:pPr>
              <w:ind w:left="80"/>
              <w:spacing w:after="0" w:line="210" w:lineRule="exact"/>
              <w:rPr>
                <w:sz w:val="20"/>
                <w:szCs w:val="20"/>
                <w:color w:val="auto"/>
              </w:rPr>
            </w:pPr>
            <w:r>
              <w:rPr>
                <w:rFonts w:ascii="Arial" w:cs="Arial" w:eastAsia="Arial" w:hAnsi="Arial"/>
                <w:sz w:val="16"/>
                <w:szCs w:val="16"/>
                <w:color w:val="auto"/>
              </w:rPr>
              <w:t xml:space="preserve">Adjusted equity method investment (earnings) loss </w:t>
            </w:r>
            <w:r>
              <w:rPr>
                <w:rFonts w:ascii="Arial" w:cs="Arial" w:eastAsia="Arial" w:hAnsi="Arial"/>
                <w:sz w:val="21"/>
                <w:szCs w:val="21"/>
                <w:color w:val="auto"/>
                <w:vertAlign w:val="superscript"/>
              </w:rPr>
              <w:t>(6)</w:t>
            </w:r>
          </w:p>
        </w:tc>
        <w:tc>
          <w:tcPr>
            <w:tcW w:w="1360" w:type="dxa"/>
            <w:vAlign w:val="bottom"/>
            <w:tcBorders>
              <w:bottom w:val="single" w:sz="8" w:color="431C5B"/>
            </w:tcBorders>
            <w:gridSpan w:val="2"/>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68"/>
        </w:trPr>
        <w:tc>
          <w:tcPr>
            <w:tcW w:w="7400" w:type="dxa"/>
            <w:vAlign w:val="bottom"/>
            <w:tcBorders>
              <w:bottom w:val="single" w:sz="8" w:color="EEFAEC"/>
            </w:tcBorders>
            <w:shd w:val="clear" w:color="auto" w:fill="EEFAEC"/>
          </w:tcPr>
          <w:p>
            <w:pPr>
              <w:ind w:left="80"/>
              <w:spacing w:after="0"/>
              <w:rPr>
                <w:sz w:val="20"/>
                <w:szCs w:val="20"/>
                <w:color w:val="auto"/>
              </w:rPr>
            </w:pPr>
            <w:r>
              <w:rPr>
                <w:rFonts w:ascii="Arial" w:cs="Arial" w:eastAsia="Arial" w:hAnsi="Arial"/>
                <w:sz w:val="16"/>
                <w:szCs w:val="16"/>
                <w:color w:val="auto"/>
              </w:rPr>
              <w:t>Adjusted net earnings attributable to FIS from continuing operations</w:t>
            </w:r>
          </w:p>
        </w:tc>
        <w:tc>
          <w:tcPr>
            <w:tcW w:w="720" w:type="dxa"/>
            <w:vAlign w:val="bottom"/>
            <w:tcBorders>
              <w:bottom w:val="single" w:sz="8" w:color="431C5B"/>
            </w:tcBorders>
            <w:shd w:val="clear" w:color="auto" w:fill="EEFAEC"/>
          </w:tcPr>
          <w:p>
            <w:pPr>
              <w:spacing w:after="0"/>
              <w:rPr>
                <w:sz w:val="22"/>
                <w:szCs w:val="22"/>
                <w:color w:val="auto"/>
              </w:rPr>
            </w:pPr>
          </w:p>
        </w:tc>
        <w:tc>
          <w:tcPr>
            <w:tcW w:w="640" w:type="dxa"/>
            <w:vAlign w:val="bottom"/>
            <w:tcBorders>
              <w:bottom w:val="single" w:sz="8" w:color="431C5B"/>
            </w:tcBorders>
            <w:shd w:val="clear" w:color="auto" w:fill="EEFAEC"/>
          </w:tcPr>
          <w:p>
            <w:pPr>
              <w:jc w:val="right"/>
              <w:spacing w:after="0"/>
              <w:rPr>
                <w:sz w:val="20"/>
                <w:szCs w:val="20"/>
                <w:color w:val="auto"/>
              </w:rPr>
            </w:pPr>
            <w:r>
              <w:rPr>
                <w:rFonts w:ascii="Arial" w:cs="Arial" w:eastAsia="Arial" w:hAnsi="Arial"/>
                <w:sz w:val="16"/>
                <w:szCs w:val="16"/>
                <w:color w:val="auto"/>
              </w:rPr>
              <w:t>$ 3,023</w:t>
            </w:r>
          </w:p>
        </w:tc>
        <w:tc>
          <w:tcPr>
            <w:tcW w:w="0" w:type="dxa"/>
            <w:vAlign w:val="bottom"/>
          </w:tcPr>
          <w:p>
            <w:pPr>
              <w:spacing w:after="0"/>
              <w:rPr>
                <w:sz w:val="1"/>
                <w:szCs w:val="1"/>
                <w:color w:val="auto"/>
              </w:rPr>
            </w:pPr>
          </w:p>
        </w:tc>
      </w:tr>
      <w:tr>
        <w:trPr>
          <w:trHeight w:val="443"/>
        </w:trPr>
        <w:tc>
          <w:tcPr>
            <w:tcW w:w="7400" w:type="dxa"/>
            <w:vAlign w:val="bottom"/>
            <w:tcBorders>
              <w:top w:val="single" w:sz="8" w:color="431C5B"/>
            </w:tcBorders>
          </w:tcPr>
          <w:p>
            <w:pPr>
              <w:spacing w:after="0"/>
              <w:rPr>
                <w:sz w:val="24"/>
                <w:szCs w:val="24"/>
                <w:color w:val="auto"/>
              </w:rPr>
            </w:pPr>
          </w:p>
        </w:tc>
        <w:tc>
          <w:tcPr>
            <w:tcW w:w="1360" w:type="dxa"/>
            <w:vAlign w:val="bottom"/>
            <w:tcBorders>
              <w:top w:val="single" w:sz="8" w:color="431C5B"/>
            </w:tcBorders>
            <w:gridSpan w:val="2"/>
          </w:tcPr>
          <w:p>
            <w:pPr>
              <w:jc w:val="center"/>
              <w:spacing w:after="0"/>
              <w:rPr>
                <w:sz w:val="20"/>
                <w:szCs w:val="20"/>
                <w:color w:val="auto"/>
              </w:rPr>
            </w:pPr>
            <w:r>
              <w:rPr>
                <w:rFonts w:ascii="Arial" w:cs="Arial" w:eastAsia="Arial" w:hAnsi="Arial"/>
                <w:sz w:val="14"/>
                <w:szCs w:val="14"/>
                <w:b w:val="1"/>
                <w:bCs w:val="1"/>
                <w:color w:val="431C5B"/>
              </w:rPr>
              <w:t>Year Ended</w:t>
            </w:r>
          </w:p>
        </w:tc>
        <w:tc>
          <w:tcPr>
            <w:tcW w:w="0" w:type="dxa"/>
            <w:vAlign w:val="bottom"/>
          </w:tcPr>
          <w:p>
            <w:pPr>
              <w:spacing w:after="0"/>
              <w:rPr>
                <w:sz w:val="1"/>
                <w:szCs w:val="1"/>
                <w:color w:val="auto"/>
              </w:rPr>
            </w:pPr>
          </w:p>
        </w:tc>
      </w:tr>
      <w:tr>
        <w:trPr>
          <w:trHeight w:val="185"/>
        </w:trPr>
        <w:tc>
          <w:tcPr>
            <w:tcW w:w="7400" w:type="dxa"/>
            <w:vAlign w:val="bottom"/>
          </w:tcPr>
          <w:p>
            <w:pPr>
              <w:spacing w:after="0"/>
              <w:rPr>
                <w:sz w:val="16"/>
                <w:szCs w:val="16"/>
                <w:color w:val="auto"/>
              </w:rPr>
            </w:pPr>
          </w:p>
        </w:tc>
        <w:tc>
          <w:tcPr>
            <w:tcW w:w="1360" w:type="dxa"/>
            <w:vAlign w:val="bottom"/>
            <w:tcBorders>
              <w:bottom w:val="single" w:sz="8" w:color="431C5B"/>
            </w:tcBorders>
            <w:gridSpan w:val="2"/>
          </w:tcPr>
          <w:p>
            <w:pPr>
              <w:jc w:val="center"/>
              <w:spacing w:after="0"/>
              <w:rPr>
                <w:sz w:val="20"/>
                <w:szCs w:val="20"/>
                <w:color w:val="auto"/>
              </w:rPr>
            </w:pPr>
            <w:r>
              <w:rPr>
                <w:rFonts w:ascii="Arial" w:cs="Arial" w:eastAsia="Arial" w:hAnsi="Arial"/>
                <w:sz w:val="14"/>
                <w:szCs w:val="14"/>
                <w:b w:val="1"/>
                <w:bCs w:val="1"/>
                <w:color w:val="431C5B"/>
              </w:rPr>
              <w:t>December 31,</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 per share; weighted average shares outstanding in millions)</w:t>
            </w:r>
          </w:p>
        </w:tc>
        <w:tc>
          <w:tcPr>
            <w:tcW w:w="1360" w:type="dxa"/>
            <w:vAlign w:val="bottom"/>
            <w:tcBorders>
              <w:bottom w:val="single" w:sz="8" w:color="431C5B"/>
            </w:tcBorders>
            <w:gridSpan w:val="2"/>
          </w:tcPr>
          <w:p>
            <w:pPr>
              <w:jc w:val="center"/>
              <w:spacing w:after="0"/>
              <w:rPr>
                <w:sz w:val="20"/>
                <w:szCs w:val="20"/>
                <w:color w:val="auto"/>
              </w:rPr>
            </w:pPr>
            <w:r>
              <w:rPr>
                <w:rFonts w:ascii="Arial" w:cs="Arial" w:eastAsia="Arial" w:hAnsi="Arial"/>
                <w:sz w:val="14"/>
                <w:szCs w:val="14"/>
                <w:b w:val="1"/>
                <w:bCs w:val="1"/>
                <w:color w:val="431C5B"/>
              </w:rPr>
              <w:t>2025</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color w:val="auto"/>
              </w:rPr>
              <w:t>Earnings (loss) attributable to FIS from continuing operations</w:t>
            </w:r>
          </w:p>
        </w:tc>
        <w:tc>
          <w:tcPr>
            <w:tcW w:w="136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6"/>
                <w:szCs w:val="16"/>
                <w:color w:val="auto"/>
              </w:rPr>
              <w:t>$ 0.73</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Equity method investment (earnings) loss, net of tax</w:t>
            </w:r>
          </w:p>
        </w:tc>
        <w:tc>
          <w:tcPr>
            <w:tcW w:w="1360" w:type="dxa"/>
            <w:vAlign w:val="bottom"/>
            <w:tcBorders>
              <w:bottom w:val="single" w:sz="8" w:color="431C5B"/>
            </w:tcBorders>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5"/>
        </w:trPr>
        <w:tc>
          <w:tcPr>
            <w:tcW w:w="7400" w:type="dxa"/>
            <w:vAlign w:val="bottom"/>
            <w:shd w:val="clear" w:color="auto" w:fill="EEFAEC"/>
          </w:tcPr>
          <w:p>
            <w:pPr>
              <w:ind w:left="80"/>
              <w:spacing w:after="0"/>
              <w:rPr>
                <w:sz w:val="20"/>
                <w:szCs w:val="20"/>
                <w:color w:val="auto"/>
              </w:rPr>
            </w:pPr>
            <w:r>
              <w:rPr>
                <w:rFonts w:ascii="Arial" w:cs="Arial" w:eastAsia="Arial" w:hAnsi="Arial"/>
                <w:sz w:val="16"/>
                <w:szCs w:val="16"/>
                <w:color w:val="auto"/>
              </w:rPr>
              <w:t>Earnings (loss) attributable to FIS from continuing operations, excluding equity method investment</w:t>
            </w:r>
          </w:p>
        </w:tc>
        <w:tc>
          <w:tcPr>
            <w:tcW w:w="1360" w:type="dxa"/>
            <w:vAlign w:val="bottom"/>
            <w:gridSpan w:val="2"/>
            <w:vMerge w:val="restart"/>
            <w:shd w:val="clear" w:color="auto" w:fill="EEFAEC"/>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120"/>
        </w:trPr>
        <w:tc>
          <w:tcPr>
            <w:tcW w:w="7400" w:type="dxa"/>
            <w:vAlign w:val="bottom"/>
            <w:vMerge w:val="restart"/>
            <w:shd w:val="clear" w:color="auto" w:fill="EEFAEC"/>
          </w:tcPr>
          <w:p>
            <w:pPr>
              <w:ind w:left="80"/>
              <w:spacing w:after="0"/>
              <w:rPr>
                <w:sz w:val="20"/>
                <w:szCs w:val="20"/>
                <w:color w:val="auto"/>
              </w:rPr>
            </w:pPr>
            <w:r>
              <w:rPr>
                <w:rFonts w:ascii="Arial" w:cs="Arial" w:eastAsia="Arial" w:hAnsi="Arial"/>
                <w:sz w:val="16"/>
                <w:szCs w:val="16"/>
                <w:color w:val="auto"/>
              </w:rPr>
              <w:t>earnings (loss)</w:t>
            </w:r>
          </w:p>
        </w:tc>
        <w:tc>
          <w:tcPr>
            <w:tcW w:w="1360" w:type="dxa"/>
            <w:vAlign w:val="bottom"/>
            <w:gridSpan w:val="2"/>
            <w:vMerge w:val="continue"/>
            <w:shd w:val="clear" w:color="auto" w:fill="EEFAEC"/>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400" w:type="dxa"/>
            <w:vAlign w:val="bottom"/>
            <w:tcBorders>
              <w:bottom w:val="single" w:sz="8" w:color="E6E6E6"/>
            </w:tcBorders>
            <w:vMerge w:val="continue"/>
            <w:shd w:val="clear" w:color="auto" w:fill="EEFAEC"/>
          </w:tcPr>
          <w:p>
            <w:pPr>
              <w:spacing w:after="0"/>
              <w:rPr>
                <w:sz w:val="8"/>
                <w:szCs w:val="8"/>
                <w:color w:val="auto"/>
              </w:rPr>
            </w:pPr>
          </w:p>
        </w:tc>
        <w:tc>
          <w:tcPr>
            <w:tcW w:w="720" w:type="dxa"/>
            <w:vAlign w:val="bottom"/>
            <w:tcBorders>
              <w:bottom w:val="single" w:sz="8" w:color="E6E6E6"/>
            </w:tcBorders>
            <w:shd w:val="clear" w:color="auto" w:fill="EEFAEC"/>
          </w:tcPr>
          <w:p>
            <w:pPr>
              <w:spacing w:after="0"/>
              <w:rPr>
                <w:sz w:val="8"/>
                <w:szCs w:val="8"/>
                <w:color w:val="auto"/>
              </w:rPr>
            </w:pPr>
          </w:p>
        </w:tc>
        <w:tc>
          <w:tcPr>
            <w:tcW w:w="640" w:type="dxa"/>
            <w:vAlign w:val="bottom"/>
            <w:tcBorders>
              <w:bottom w:val="single" w:sz="8" w:color="E6E6E6"/>
            </w:tcBorders>
            <w:shd w:val="clear" w:color="auto" w:fill="EEFAEC"/>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Non-GAAP adjustments from continuing operations:</w:t>
            </w:r>
          </w:p>
        </w:tc>
        <w:tc>
          <w:tcPr>
            <w:tcW w:w="720" w:type="dxa"/>
            <w:vAlign w:val="bottom"/>
            <w:tcBorders>
              <w:bottom w:val="single" w:sz="8" w:color="E6E6E6"/>
            </w:tcBorders>
          </w:tcPr>
          <w:p>
            <w:pPr>
              <w:spacing w:after="0"/>
              <w:rPr>
                <w:sz w:val="18"/>
                <w:szCs w:val="18"/>
                <w:color w:val="auto"/>
              </w:rPr>
            </w:pPr>
          </w:p>
        </w:tc>
        <w:tc>
          <w:tcPr>
            <w:tcW w:w="64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shd w:val="clear" w:color="auto" w:fill="EEFAEC"/>
          </w:tcPr>
          <w:p>
            <w:pPr>
              <w:ind w:left="280"/>
              <w:spacing w:after="0" w:line="210" w:lineRule="exact"/>
              <w:rPr>
                <w:sz w:val="20"/>
                <w:szCs w:val="20"/>
                <w:color w:val="auto"/>
              </w:rPr>
            </w:pPr>
            <w:r>
              <w:rPr>
                <w:rFonts w:ascii="Arial" w:cs="Arial" w:eastAsia="Arial" w:hAnsi="Arial"/>
                <w:sz w:val="16"/>
                <w:szCs w:val="16"/>
                <w:color w:val="auto"/>
              </w:rPr>
              <w:t xml:space="preserve">Purchase accounting amortization </w:t>
            </w:r>
            <w:r>
              <w:rPr>
                <w:rFonts w:ascii="Arial" w:cs="Arial" w:eastAsia="Arial" w:hAnsi="Arial"/>
                <w:sz w:val="21"/>
                <w:szCs w:val="21"/>
                <w:color w:val="auto"/>
                <w:vertAlign w:val="superscript"/>
              </w:rPr>
              <w:t>(1)</w:t>
            </w:r>
          </w:p>
        </w:tc>
        <w:tc>
          <w:tcPr>
            <w:tcW w:w="136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E6E6E6"/>
            </w:tcBorders>
          </w:tcPr>
          <w:p>
            <w:pPr>
              <w:ind w:left="280"/>
              <w:spacing w:after="0" w:line="210" w:lineRule="exact"/>
              <w:rPr>
                <w:sz w:val="20"/>
                <w:szCs w:val="20"/>
                <w:color w:val="auto"/>
              </w:rPr>
            </w:pPr>
            <w:r>
              <w:rPr>
                <w:rFonts w:ascii="Arial" w:cs="Arial" w:eastAsia="Arial" w:hAnsi="Arial"/>
                <w:sz w:val="16"/>
                <w:szCs w:val="16"/>
                <w:color w:val="auto"/>
              </w:rPr>
              <w:t xml:space="preserve">Acquisition, integration and other costs </w:t>
            </w:r>
            <w:r>
              <w:rPr>
                <w:rFonts w:ascii="Arial" w:cs="Arial" w:eastAsia="Arial" w:hAnsi="Arial"/>
                <w:sz w:val="21"/>
                <w:szCs w:val="21"/>
                <w:color w:val="auto"/>
                <w:vertAlign w:val="superscript"/>
              </w:rPr>
              <w:t>(2)</w:t>
            </w:r>
          </w:p>
        </w:tc>
        <w:tc>
          <w:tcPr>
            <w:tcW w:w="1360" w:type="dxa"/>
            <w:vAlign w:val="bottom"/>
            <w:tcBorders>
              <w:bottom w:val="single" w:sz="8" w:color="E6E6E6"/>
            </w:tcBorders>
            <w:gridSpan w:val="2"/>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E6E6E6"/>
            </w:tcBorders>
            <w:shd w:val="clear" w:color="auto" w:fill="EEFAEC"/>
          </w:tcPr>
          <w:p>
            <w:pPr>
              <w:ind w:left="280"/>
              <w:spacing w:after="0" w:line="210" w:lineRule="exact"/>
              <w:rPr>
                <w:sz w:val="20"/>
                <w:szCs w:val="20"/>
                <w:color w:val="auto"/>
              </w:rPr>
            </w:pPr>
            <w:r>
              <w:rPr>
                <w:rFonts w:ascii="Arial" w:cs="Arial" w:eastAsia="Arial" w:hAnsi="Arial"/>
                <w:sz w:val="16"/>
                <w:szCs w:val="16"/>
                <w:color w:val="auto"/>
              </w:rPr>
              <w:t xml:space="preserve">Asset impairments </w:t>
            </w:r>
            <w:r>
              <w:rPr>
                <w:rFonts w:ascii="Arial" w:cs="Arial" w:eastAsia="Arial" w:hAnsi="Arial"/>
                <w:sz w:val="21"/>
                <w:szCs w:val="21"/>
                <w:color w:val="auto"/>
                <w:vertAlign w:val="superscript"/>
              </w:rPr>
              <w:t>(3)</w:t>
            </w:r>
          </w:p>
        </w:tc>
        <w:tc>
          <w:tcPr>
            <w:tcW w:w="1360" w:type="dxa"/>
            <w:vAlign w:val="bottom"/>
            <w:tcBorders>
              <w:bottom w:val="single" w:sz="8" w:color="E6E6E6"/>
            </w:tcBorders>
            <w:gridSpan w:val="2"/>
            <w:shd w:val="clear" w:color="auto" w:fill="EEFAEC"/>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E6E6E6"/>
            </w:tcBorders>
          </w:tcPr>
          <w:p>
            <w:pPr>
              <w:ind w:left="280"/>
              <w:spacing w:after="0" w:line="210" w:lineRule="exact"/>
              <w:rPr>
                <w:sz w:val="20"/>
                <w:szCs w:val="20"/>
                <w:color w:val="auto"/>
              </w:rPr>
            </w:pPr>
            <w:r>
              <w:rPr>
                <w:rFonts w:ascii="Arial" w:cs="Arial" w:eastAsia="Arial" w:hAnsi="Arial"/>
                <w:sz w:val="16"/>
                <w:szCs w:val="16"/>
                <w:color w:val="auto"/>
              </w:rPr>
              <w:t xml:space="preserve">Non-operating (income) expense </w:t>
            </w:r>
            <w:r>
              <w:rPr>
                <w:rFonts w:ascii="Arial" w:cs="Arial" w:eastAsia="Arial" w:hAnsi="Arial"/>
                <w:sz w:val="21"/>
                <w:szCs w:val="21"/>
                <w:color w:val="auto"/>
                <w:vertAlign w:val="superscript"/>
              </w:rPr>
              <w:t>(4)</w:t>
            </w:r>
          </w:p>
        </w:tc>
        <w:tc>
          <w:tcPr>
            <w:tcW w:w="1360" w:type="dxa"/>
            <w:vAlign w:val="bottom"/>
            <w:tcBorders>
              <w:bottom w:val="single" w:sz="8" w:color="E6E6E6"/>
            </w:tcBorders>
            <w:gridSpan w:val="2"/>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E6E6E6"/>
            </w:tcBorders>
            <w:shd w:val="clear" w:color="auto" w:fill="EEFAEC"/>
          </w:tcPr>
          <w:p>
            <w:pPr>
              <w:ind w:left="280"/>
              <w:spacing w:after="0" w:line="210" w:lineRule="exact"/>
              <w:rPr>
                <w:sz w:val="20"/>
                <w:szCs w:val="20"/>
                <w:color w:val="auto"/>
              </w:rPr>
            </w:pPr>
            <w:r>
              <w:rPr>
                <w:rFonts w:ascii="Arial" w:cs="Arial" w:eastAsia="Arial" w:hAnsi="Arial"/>
                <w:sz w:val="16"/>
                <w:szCs w:val="16"/>
                <w:color w:val="auto"/>
              </w:rPr>
              <w:t xml:space="preserve">Non-GAAP tax (provision) benefit </w:t>
            </w:r>
            <w:r>
              <w:rPr>
                <w:rFonts w:ascii="Arial" w:cs="Arial" w:eastAsia="Arial" w:hAnsi="Arial"/>
                <w:sz w:val="21"/>
                <w:szCs w:val="21"/>
                <w:color w:val="auto"/>
                <w:vertAlign w:val="superscript"/>
              </w:rPr>
              <w:t>(5)</w:t>
            </w:r>
          </w:p>
        </w:tc>
        <w:tc>
          <w:tcPr>
            <w:tcW w:w="1360" w:type="dxa"/>
            <w:vAlign w:val="bottom"/>
            <w:tcBorders>
              <w:bottom w:val="single" w:sz="8" w:color="431C5B"/>
            </w:tcBorders>
            <w:gridSpan w:val="2"/>
            <w:shd w:val="clear" w:color="auto" w:fill="EEFAEC"/>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Total non-GAAP adjustments from continuing operations</w:t>
            </w:r>
          </w:p>
        </w:tc>
        <w:tc>
          <w:tcPr>
            <w:tcW w:w="1360" w:type="dxa"/>
            <w:vAlign w:val="bottom"/>
            <w:tcBorders>
              <w:bottom w:val="single" w:sz="8" w:color="431C5B"/>
            </w:tcBorders>
            <w:gridSpan w:val="2"/>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195"/>
        </w:trPr>
        <w:tc>
          <w:tcPr>
            <w:tcW w:w="7400" w:type="dxa"/>
            <w:vAlign w:val="bottom"/>
            <w:shd w:val="clear" w:color="auto" w:fill="EEFAEC"/>
          </w:tcPr>
          <w:p>
            <w:pPr>
              <w:ind w:left="80"/>
              <w:spacing w:after="0"/>
              <w:rPr>
                <w:sz w:val="20"/>
                <w:szCs w:val="20"/>
                <w:color w:val="auto"/>
              </w:rPr>
            </w:pPr>
            <w:r>
              <w:rPr>
                <w:rFonts w:ascii="Arial" w:cs="Arial" w:eastAsia="Arial" w:hAnsi="Arial"/>
                <w:sz w:val="16"/>
                <w:szCs w:val="16"/>
                <w:color w:val="auto"/>
              </w:rPr>
              <w:t>Adjusted net earnings attributable to FIS from continuing operations, excluding equity method</w:t>
            </w:r>
          </w:p>
        </w:tc>
        <w:tc>
          <w:tcPr>
            <w:tcW w:w="1360" w:type="dxa"/>
            <w:vAlign w:val="bottom"/>
            <w:gridSpan w:val="2"/>
            <w:vMerge w:val="restart"/>
            <w:shd w:val="clear" w:color="auto" w:fill="EEFAEC"/>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120"/>
        </w:trPr>
        <w:tc>
          <w:tcPr>
            <w:tcW w:w="7400" w:type="dxa"/>
            <w:vAlign w:val="bottom"/>
            <w:vMerge w:val="restart"/>
            <w:shd w:val="clear" w:color="auto" w:fill="EEFAEC"/>
          </w:tcPr>
          <w:p>
            <w:pPr>
              <w:ind w:left="80"/>
              <w:spacing w:after="0"/>
              <w:rPr>
                <w:sz w:val="20"/>
                <w:szCs w:val="20"/>
                <w:color w:val="auto"/>
              </w:rPr>
            </w:pPr>
            <w:r>
              <w:rPr>
                <w:rFonts w:ascii="Arial" w:cs="Arial" w:eastAsia="Arial" w:hAnsi="Arial"/>
                <w:sz w:val="16"/>
                <w:szCs w:val="16"/>
                <w:color w:val="auto"/>
              </w:rPr>
              <w:t>investment earnings (loss)</w:t>
            </w:r>
          </w:p>
        </w:tc>
        <w:tc>
          <w:tcPr>
            <w:tcW w:w="1360" w:type="dxa"/>
            <w:vAlign w:val="bottom"/>
            <w:gridSpan w:val="2"/>
            <w:vMerge w:val="continue"/>
            <w:shd w:val="clear" w:color="auto" w:fill="EEFAEC"/>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400" w:type="dxa"/>
            <w:vAlign w:val="bottom"/>
            <w:tcBorders>
              <w:bottom w:val="single" w:sz="8" w:color="E6E6E6"/>
            </w:tcBorders>
            <w:vMerge w:val="continue"/>
            <w:shd w:val="clear" w:color="auto" w:fill="EEFAEC"/>
          </w:tcPr>
          <w:p>
            <w:pPr>
              <w:spacing w:after="0"/>
              <w:rPr>
                <w:sz w:val="8"/>
                <w:szCs w:val="8"/>
                <w:color w:val="auto"/>
              </w:rPr>
            </w:pPr>
          </w:p>
        </w:tc>
        <w:tc>
          <w:tcPr>
            <w:tcW w:w="720" w:type="dxa"/>
            <w:vAlign w:val="bottom"/>
            <w:tcBorders>
              <w:bottom w:val="single" w:sz="8" w:color="E6E6E6"/>
            </w:tcBorders>
            <w:shd w:val="clear" w:color="auto" w:fill="EEFAEC"/>
          </w:tcPr>
          <w:p>
            <w:pPr>
              <w:spacing w:after="0"/>
              <w:rPr>
                <w:sz w:val="8"/>
                <w:szCs w:val="8"/>
                <w:color w:val="auto"/>
              </w:rPr>
            </w:pPr>
          </w:p>
        </w:tc>
        <w:tc>
          <w:tcPr>
            <w:tcW w:w="640" w:type="dxa"/>
            <w:vAlign w:val="bottom"/>
            <w:tcBorders>
              <w:bottom w:val="single" w:sz="8" w:color="E6E6E6"/>
            </w:tcBorders>
            <w:shd w:val="clear" w:color="auto" w:fill="EEFAEC"/>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E6E6E6"/>
            </w:tcBorders>
          </w:tcPr>
          <w:p>
            <w:pPr>
              <w:ind w:left="80"/>
              <w:spacing w:after="0" w:line="211" w:lineRule="exact"/>
              <w:rPr>
                <w:sz w:val="20"/>
                <w:szCs w:val="20"/>
                <w:color w:val="auto"/>
              </w:rPr>
            </w:pPr>
            <w:r>
              <w:rPr>
                <w:rFonts w:ascii="Arial" w:cs="Arial" w:eastAsia="Arial" w:hAnsi="Arial"/>
                <w:sz w:val="16"/>
                <w:szCs w:val="16"/>
                <w:color w:val="auto"/>
              </w:rPr>
              <w:t xml:space="preserve">Equity method investment earnings (loss), net of tax </w:t>
            </w:r>
            <w:r>
              <w:rPr>
                <w:rFonts w:ascii="Arial" w:cs="Arial" w:eastAsia="Arial" w:hAnsi="Arial"/>
                <w:sz w:val="21"/>
                <w:szCs w:val="21"/>
                <w:color w:val="auto"/>
                <w:vertAlign w:val="superscript"/>
              </w:rPr>
              <w:t>(6)</w:t>
            </w:r>
          </w:p>
        </w:tc>
        <w:tc>
          <w:tcPr>
            <w:tcW w:w="1360" w:type="dxa"/>
            <w:vAlign w:val="bottom"/>
            <w:tcBorders>
              <w:bottom w:val="single" w:sz="8" w:color="E6E6E6"/>
            </w:tcBorders>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5"/>
        </w:trPr>
        <w:tc>
          <w:tcPr>
            <w:tcW w:w="7400" w:type="dxa"/>
            <w:vAlign w:val="bottom"/>
            <w:shd w:val="clear" w:color="auto" w:fill="EEFAEC"/>
          </w:tcPr>
          <w:p>
            <w:pPr>
              <w:ind w:left="80"/>
              <w:spacing w:after="0"/>
              <w:rPr>
                <w:sz w:val="20"/>
                <w:szCs w:val="20"/>
                <w:color w:val="auto"/>
              </w:rPr>
            </w:pPr>
            <w:r>
              <w:rPr>
                <w:rFonts w:ascii="Arial" w:cs="Arial" w:eastAsia="Arial" w:hAnsi="Arial"/>
                <w:sz w:val="16"/>
                <w:szCs w:val="16"/>
                <w:color w:val="auto"/>
              </w:rPr>
              <w:t>Non-GAAP adjustments on equity method investment earnings (loss), net of related (provision) benefit</w:t>
            </w:r>
          </w:p>
        </w:tc>
        <w:tc>
          <w:tcPr>
            <w:tcW w:w="1360" w:type="dxa"/>
            <w:vAlign w:val="bottom"/>
            <w:gridSpan w:val="2"/>
            <w:vMerge w:val="restart"/>
            <w:shd w:val="clear" w:color="auto" w:fill="EEFAEC"/>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27"/>
        </w:trPr>
        <w:tc>
          <w:tcPr>
            <w:tcW w:w="7400" w:type="dxa"/>
            <w:vAlign w:val="bottom"/>
            <w:tcBorders>
              <w:bottom w:val="single" w:sz="8" w:color="E6E6E6"/>
            </w:tcBorders>
            <w:shd w:val="clear" w:color="auto" w:fill="EEFAEC"/>
          </w:tcPr>
          <w:p>
            <w:pPr>
              <w:ind w:left="80"/>
              <w:spacing w:after="0" w:line="227" w:lineRule="exact"/>
              <w:rPr>
                <w:sz w:val="20"/>
                <w:szCs w:val="20"/>
                <w:color w:val="auto"/>
              </w:rPr>
            </w:pPr>
            <w:r>
              <w:rPr>
                <w:rFonts w:ascii="Arial" w:cs="Arial" w:eastAsia="Arial" w:hAnsi="Arial"/>
                <w:sz w:val="16"/>
                <w:szCs w:val="16"/>
                <w:color w:val="auto"/>
              </w:rPr>
              <w:t xml:space="preserve">for income taxes </w:t>
            </w:r>
            <w:r>
              <w:rPr>
                <w:rFonts w:ascii="Arial" w:cs="Arial" w:eastAsia="Arial" w:hAnsi="Arial"/>
                <w:sz w:val="21"/>
                <w:szCs w:val="21"/>
                <w:color w:val="auto"/>
                <w:vertAlign w:val="superscript"/>
              </w:rPr>
              <w:t>(6) (7)</w:t>
            </w:r>
          </w:p>
        </w:tc>
        <w:tc>
          <w:tcPr>
            <w:tcW w:w="1360" w:type="dxa"/>
            <w:vAlign w:val="bottom"/>
            <w:tcBorders>
              <w:bottom w:val="single" w:sz="8" w:color="431C5B"/>
            </w:tcBorders>
            <w:gridSpan w:val="2"/>
            <w:vMerge w:val="continue"/>
            <w:shd w:val="clear" w:color="auto" w:fill="EEFAE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E6E6E6"/>
            </w:tcBorders>
          </w:tcPr>
          <w:p>
            <w:pPr>
              <w:ind w:left="80"/>
              <w:spacing w:after="0" w:line="210" w:lineRule="exact"/>
              <w:rPr>
                <w:sz w:val="20"/>
                <w:szCs w:val="20"/>
                <w:color w:val="auto"/>
              </w:rPr>
            </w:pPr>
            <w:r>
              <w:rPr>
                <w:rFonts w:ascii="Arial" w:cs="Arial" w:eastAsia="Arial" w:hAnsi="Arial"/>
                <w:sz w:val="16"/>
                <w:szCs w:val="16"/>
                <w:color w:val="auto"/>
              </w:rPr>
              <w:t xml:space="preserve">Adjusted equity method investment (earnings) loss </w:t>
            </w:r>
            <w:r>
              <w:rPr>
                <w:rFonts w:ascii="Arial" w:cs="Arial" w:eastAsia="Arial" w:hAnsi="Arial"/>
                <w:sz w:val="21"/>
                <w:szCs w:val="21"/>
                <w:color w:val="auto"/>
                <w:vertAlign w:val="superscript"/>
              </w:rPr>
              <w:t>(6)</w:t>
            </w:r>
          </w:p>
        </w:tc>
        <w:tc>
          <w:tcPr>
            <w:tcW w:w="1360" w:type="dxa"/>
            <w:vAlign w:val="bottom"/>
            <w:tcBorders>
              <w:bottom w:val="single" w:sz="8" w:color="431C5B"/>
            </w:tcBorders>
            <w:gridSpan w:val="2"/>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83"/>
        </w:trPr>
        <w:tc>
          <w:tcPr>
            <w:tcW w:w="7400" w:type="dxa"/>
            <w:vAlign w:val="bottom"/>
            <w:tcBorders>
              <w:bottom w:val="single" w:sz="8" w:color="E6E6E6"/>
            </w:tcBorders>
            <w:shd w:val="clear" w:color="auto" w:fill="EEFAEC"/>
          </w:tcPr>
          <w:p>
            <w:pPr>
              <w:ind w:left="80"/>
              <w:spacing w:after="0" w:line="183" w:lineRule="exact"/>
              <w:rPr>
                <w:sz w:val="20"/>
                <w:szCs w:val="20"/>
                <w:color w:val="auto"/>
              </w:rPr>
            </w:pPr>
            <w:r>
              <w:rPr>
                <w:rFonts w:ascii="Arial" w:cs="Arial" w:eastAsia="Arial" w:hAnsi="Arial"/>
                <w:sz w:val="16"/>
                <w:szCs w:val="16"/>
                <w:color w:val="auto"/>
              </w:rPr>
              <w:t>Adjusted net earnings attributable to FIS from continuing operations</w:t>
            </w:r>
          </w:p>
        </w:tc>
        <w:tc>
          <w:tcPr>
            <w:tcW w:w="1360" w:type="dxa"/>
            <w:vAlign w:val="bottom"/>
            <w:tcBorders>
              <w:bottom w:val="single" w:sz="8" w:color="431C5B"/>
            </w:tcBorders>
            <w:gridSpan w:val="2"/>
            <w:shd w:val="clear" w:color="auto" w:fill="EEFAEC"/>
          </w:tcPr>
          <w:p>
            <w:pPr>
              <w:jc w:val="right"/>
              <w:spacing w:after="0" w:line="183" w:lineRule="exact"/>
              <w:rPr>
                <w:sz w:val="20"/>
                <w:szCs w:val="20"/>
                <w:color w:val="auto"/>
              </w:rPr>
            </w:pPr>
            <w:r>
              <w:rPr>
                <w:rFonts w:ascii="Arial" w:cs="Arial" w:eastAsia="Arial" w:hAnsi="Arial"/>
                <w:sz w:val="16"/>
                <w:szCs w:val="16"/>
                <w:color w:val="auto"/>
              </w:rPr>
              <w:t>$ 5.75</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Weighted average shares outstanding diluted</w:t>
            </w:r>
          </w:p>
        </w:tc>
        <w:tc>
          <w:tcPr>
            <w:tcW w:w="1360" w:type="dxa"/>
            <w:vAlign w:val="bottom"/>
            <w:tcBorders>
              <w:bottom w:val="single" w:sz="8" w:color="431C5B"/>
            </w:tcBorders>
            <w:gridSpan w:val="2"/>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431C5B"/>
            </w:tcBorders>
            <w:shd w:val="clear" w:color="auto" w:fill="EEFAEC"/>
          </w:tcPr>
          <w:p>
            <w:pPr>
              <w:ind w:left="80"/>
              <w:spacing w:after="0"/>
              <w:rPr>
                <w:sz w:val="20"/>
                <w:szCs w:val="20"/>
                <w:color w:val="auto"/>
              </w:rPr>
            </w:pPr>
            <w:r>
              <w:rPr>
                <w:rFonts w:ascii="Arial" w:cs="Arial" w:eastAsia="Arial" w:hAnsi="Arial"/>
                <w:sz w:val="16"/>
                <w:szCs w:val="16"/>
                <w:color w:val="auto"/>
              </w:rPr>
              <w:t>Amounts in table may not sum or calculate due to rounding.</w:t>
            </w:r>
          </w:p>
        </w:tc>
        <w:tc>
          <w:tcPr>
            <w:tcW w:w="720" w:type="dxa"/>
            <w:vAlign w:val="bottom"/>
            <w:tcBorders>
              <w:bottom w:val="single" w:sz="8" w:color="431C5B"/>
            </w:tcBorders>
            <w:shd w:val="clear" w:color="auto" w:fill="EEFAEC"/>
          </w:tcPr>
          <w:p>
            <w:pPr>
              <w:spacing w:after="0"/>
              <w:rPr>
                <w:sz w:val="18"/>
                <w:szCs w:val="18"/>
                <w:color w:val="auto"/>
              </w:rPr>
            </w:pPr>
          </w:p>
        </w:tc>
        <w:tc>
          <w:tcPr>
            <w:tcW w:w="640" w:type="dxa"/>
            <w:vAlign w:val="bottom"/>
            <w:tcBorders>
              <w:bottom w:val="single" w:sz="8" w:color="431C5B"/>
            </w:tcBorders>
            <w:shd w:val="clear" w:color="auto" w:fill="EEFAEC"/>
          </w:tcPr>
          <w:p>
            <w:pPr>
              <w:spacing w:after="0"/>
              <w:rPr>
                <w:sz w:val="18"/>
                <w:szCs w:val="18"/>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380" w:right="259" w:hanging="250"/>
        <w:spacing w:after="0" w:line="253" w:lineRule="auto"/>
        <w:tabs>
          <w:tab w:leader="none" w:pos="380" w:val="left"/>
        </w:tabs>
        <w:numPr>
          <w:ilvl w:val="0"/>
          <w:numId w:val="146"/>
        </w:numPr>
        <w:rPr>
          <w:rFonts w:ascii="Arial" w:cs="Arial" w:eastAsia="Arial" w:hAnsi="Arial"/>
          <w:sz w:val="16"/>
          <w:szCs w:val="16"/>
          <w:color w:val="auto"/>
          <w:vertAlign w:val="superscript"/>
        </w:rPr>
      </w:pPr>
      <w:r>
        <w:rPr>
          <w:rFonts w:ascii="Arial" w:cs="Arial" w:eastAsia="Arial" w:hAnsi="Arial"/>
          <w:sz w:val="13"/>
          <w:szCs w:val="13"/>
          <w:color w:val="auto"/>
        </w:rPr>
        <w:t>This item represents purchase price amortization expense on all intangible assets acquired through various Company acquisitions, including customer relationships, contract value, technology assets, trademarks and trade names. The Company has excluded the impact of purchase price amortization expense as such amounts can be significantly impacted by the timing and/or size of acquisitions. Although the Company excludes these amounts from its non-GAAP expenses, the Company believes that it is important for investors to understand that such intangible assets contribute to revenue generation. Amortization of assets that relate to past acquisitions will recur in future periods until such assets have been fully amortized. Any future acquisitions may result in the amortization of future assets.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960"/>
        <w:spacing w:after="0"/>
        <w:tabs>
          <w:tab w:leader="none" w:pos="858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103</w:t>
      </w:r>
    </w:p>
    <w:p>
      <w:pPr>
        <w:sectPr>
          <w:pgSz w:w="11900" w:h="16838" w:orient="portrait"/>
          <w:cols w:equalWidth="0" w:num="1">
            <w:col w:w="9019"/>
          </w:cols>
          <w:pgMar w:left="1440" w:top="657" w:right="1440" w:bottom="1440" w:gutter="0" w:footer="0" w:header="0"/>
          <w:type w:val="continuous"/>
        </w:sectPr>
      </w:pPr>
    </w:p>
    <w:bookmarkStart w:id="106" w:name="page107"/>
    <w:bookmarkEnd w:id="106"/>
    <w:p>
      <w:pPr>
        <w:ind w:left="14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Appendix A</w:t>
      </w:r>
    </w:p>
    <w:p>
      <w:pPr>
        <w:spacing w:after="0" w:line="200" w:lineRule="exact"/>
        <w:rPr>
          <w:sz w:val="20"/>
          <w:szCs w:val="20"/>
          <w:color w:val="auto"/>
        </w:rPr>
      </w:pP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111"/>
        </w:trPr>
        <w:tc>
          <w:tcPr>
            <w:tcW w:w="240" w:type="dxa"/>
            <w:vAlign w:val="bottom"/>
          </w:tcPr>
          <w:p>
            <w:pPr>
              <w:jc w:val="right"/>
              <w:ind w:right="129"/>
              <w:spacing w:after="0"/>
              <w:rPr>
                <w:sz w:val="20"/>
                <w:szCs w:val="20"/>
                <w:color w:val="auto"/>
              </w:rPr>
            </w:pPr>
            <w:r>
              <w:rPr>
                <w:rFonts w:ascii="Arial" w:cs="Arial" w:eastAsia="Arial" w:hAnsi="Arial"/>
                <w:sz w:val="6"/>
                <w:szCs w:val="6"/>
                <w:color w:val="auto"/>
                <w:w w:val="81"/>
              </w:rPr>
              <w:t>(2)</w:t>
            </w:r>
          </w:p>
        </w:tc>
        <w:tc>
          <w:tcPr>
            <w:tcW w:w="7100" w:type="dxa"/>
            <w:vAlign w:val="bottom"/>
            <w:vMerge w:val="restart"/>
          </w:tcPr>
          <w:p>
            <w:pPr>
              <w:spacing w:after="0"/>
              <w:rPr>
                <w:sz w:val="20"/>
                <w:szCs w:val="20"/>
                <w:color w:val="auto"/>
              </w:rPr>
            </w:pPr>
            <w:r>
              <w:rPr>
                <w:rFonts w:ascii="Arial" w:cs="Arial" w:eastAsia="Arial" w:hAnsi="Arial"/>
                <w:sz w:val="13"/>
                <w:szCs w:val="13"/>
                <w:color w:val="auto"/>
              </w:rPr>
              <w:t>This item represents costs comprised of the following:</w:t>
            </w: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710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4"/>
        </w:trPr>
        <w:tc>
          <w:tcPr>
            <w:tcW w:w="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431C5B"/>
              </w:rPr>
              <w:t>Year Ended</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38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December 31,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100" w:type="dxa"/>
            <w:vAlign w:val="bottom"/>
            <w:tcBorders>
              <w:bottom w:val="single" w:sz="8" w:color="431C5B"/>
            </w:tcBorders>
          </w:tcPr>
          <w:p>
            <w:pPr>
              <w:ind w:left="60"/>
              <w:spacing w:after="0"/>
              <w:rPr>
                <w:sz w:val="20"/>
                <w:szCs w:val="20"/>
                <w:color w:val="auto"/>
              </w:rPr>
            </w:pPr>
            <w:r>
              <w:rPr>
                <w:rFonts w:ascii="Arial" w:cs="Arial" w:eastAsia="Arial" w:hAnsi="Arial"/>
                <w:sz w:val="14"/>
                <w:szCs w:val="14"/>
                <w:b w:val="1"/>
                <w:bCs w:val="1"/>
                <w:color w:val="431C5B"/>
              </w:rPr>
              <w:t>($ in Millions)</w:t>
            </w:r>
          </w:p>
        </w:tc>
        <w:tc>
          <w:tcPr>
            <w:tcW w:w="138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2025</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7100" w:type="dxa"/>
            <w:vAlign w:val="bottom"/>
            <w:tcBorders>
              <w:bottom w:val="single" w:sz="8" w:color="E6E6E6"/>
            </w:tcBorders>
            <w:shd w:val="clear" w:color="auto" w:fill="EDFAEC"/>
          </w:tcPr>
          <w:p>
            <w:pPr>
              <w:ind w:left="60"/>
              <w:spacing w:after="0"/>
              <w:rPr>
                <w:sz w:val="20"/>
                <w:szCs w:val="20"/>
                <w:color w:val="auto"/>
              </w:rPr>
            </w:pPr>
            <w:r>
              <w:rPr>
                <w:rFonts w:ascii="Arial" w:cs="Arial" w:eastAsia="Arial" w:hAnsi="Arial"/>
                <w:sz w:val="16"/>
                <w:szCs w:val="16"/>
                <w:b w:val="1"/>
                <w:bCs w:val="1"/>
                <w:color w:val="auto"/>
              </w:rPr>
              <w:t>Continuing operations:</w:t>
            </w:r>
          </w:p>
        </w:tc>
        <w:tc>
          <w:tcPr>
            <w:tcW w:w="1380" w:type="dxa"/>
            <w:vAlign w:val="bottom"/>
            <w:tcBorders>
              <w:bottom w:val="single" w:sz="8" w:color="E6E6E6"/>
            </w:tcBorders>
            <w:shd w:val="clear" w:color="auto" w:fill="EDFAE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0" w:type="dxa"/>
            <w:vAlign w:val="bottom"/>
          </w:tcPr>
          <w:p>
            <w:pPr>
              <w:spacing w:after="0"/>
              <w:rPr>
                <w:sz w:val="20"/>
                <w:szCs w:val="20"/>
                <w:color w:val="auto"/>
              </w:rPr>
            </w:pPr>
          </w:p>
        </w:tc>
        <w:tc>
          <w:tcPr>
            <w:tcW w:w="7100" w:type="dxa"/>
            <w:vAlign w:val="bottom"/>
            <w:tcBorders>
              <w:bottom w:val="single" w:sz="8" w:color="E6E6E6"/>
            </w:tcBorders>
          </w:tcPr>
          <w:p>
            <w:pPr>
              <w:ind w:left="180"/>
              <w:spacing w:after="0"/>
              <w:rPr>
                <w:sz w:val="20"/>
                <w:szCs w:val="20"/>
                <w:color w:val="auto"/>
              </w:rPr>
            </w:pPr>
            <w:r>
              <w:rPr>
                <w:rFonts w:ascii="Arial" w:cs="Arial" w:eastAsia="Arial" w:hAnsi="Arial"/>
                <w:sz w:val="16"/>
                <w:szCs w:val="16"/>
                <w:color w:val="auto"/>
              </w:rPr>
              <w:t>Acquisition and integration</w:t>
            </w:r>
          </w:p>
        </w:tc>
        <w:tc>
          <w:tcPr>
            <w:tcW w:w="13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$ 136</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100" w:type="dxa"/>
            <w:vAlign w:val="bottom"/>
            <w:tcBorders>
              <w:bottom w:val="single" w:sz="8" w:color="E6E6E6"/>
            </w:tcBorders>
            <w:shd w:val="clear" w:color="auto" w:fill="EDFAEC"/>
          </w:tcPr>
          <w:p>
            <w:pPr>
              <w:ind w:left="180"/>
              <w:spacing w:after="0"/>
              <w:rPr>
                <w:sz w:val="20"/>
                <w:szCs w:val="20"/>
                <w:color w:val="auto"/>
              </w:rPr>
            </w:pPr>
            <w:r>
              <w:rPr>
                <w:rFonts w:ascii="Arial" w:cs="Arial" w:eastAsia="Arial" w:hAnsi="Arial"/>
                <w:sz w:val="16"/>
                <w:szCs w:val="16"/>
                <w:color w:val="auto"/>
              </w:rPr>
              <w:t>Enterprise transformation, including Future Forward and platform modernization</w:t>
            </w:r>
          </w:p>
        </w:tc>
        <w:tc>
          <w:tcPr>
            <w:tcW w:w="13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7100" w:type="dxa"/>
            <w:vAlign w:val="bottom"/>
            <w:tcBorders>
              <w:bottom w:val="single" w:sz="8" w:color="E6E6E6"/>
            </w:tcBorders>
          </w:tcPr>
          <w:p>
            <w:pPr>
              <w:ind w:left="180"/>
              <w:spacing w:after="0"/>
              <w:rPr>
                <w:sz w:val="20"/>
                <w:szCs w:val="20"/>
                <w:color w:val="auto"/>
              </w:rPr>
            </w:pPr>
            <w:r>
              <w:rPr>
                <w:rFonts w:ascii="Arial" w:cs="Arial" w:eastAsia="Arial" w:hAnsi="Arial"/>
                <w:sz w:val="16"/>
                <w:szCs w:val="16"/>
                <w:color w:val="auto"/>
              </w:rPr>
              <w:t>Severance and other termination expenses</w:t>
            </w:r>
          </w:p>
        </w:tc>
        <w:tc>
          <w:tcPr>
            <w:tcW w:w="13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7100" w:type="dxa"/>
            <w:vAlign w:val="bottom"/>
            <w:tcBorders>
              <w:bottom w:val="single" w:sz="8" w:color="E6E6E6"/>
            </w:tcBorders>
            <w:shd w:val="clear" w:color="auto" w:fill="EDFAEC"/>
          </w:tcPr>
          <w:p>
            <w:pPr>
              <w:ind w:left="180"/>
              <w:spacing w:after="0"/>
              <w:rPr>
                <w:sz w:val="20"/>
                <w:szCs w:val="20"/>
                <w:color w:val="auto"/>
              </w:rPr>
            </w:pPr>
            <w:r>
              <w:rPr>
                <w:rFonts w:ascii="Arial" w:cs="Arial" w:eastAsia="Arial" w:hAnsi="Arial"/>
                <w:sz w:val="16"/>
                <w:szCs w:val="16"/>
                <w:color w:val="auto"/>
              </w:rPr>
              <w:t>Separation of the Worldpay Merchant Solutions business</w:t>
            </w:r>
          </w:p>
        </w:tc>
        <w:tc>
          <w:tcPr>
            <w:tcW w:w="13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7100" w:type="dxa"/>
            <w:vAlign w:val="bottom"/>
            <w:tcBorders>
              <w:bottom w:val="single" w:sz="8" w:color="E6E6E6"/>
            </w:tcBorders>
          </w:tcPr>
          <w:p>
            <w:pPr>
              <w:ind w:left="180"/>
              <w:spacing w:after="0"/>
              <w:rPr>
                <w:sz w:val="20"/>
                <w:szCs w:val="20"/>
                <w:color w:val="auto"/>
              </w:rPr>
            </w:pPr>
            <w:r>
              <w:rPr>
                <w:rFonts w:ascii="Arial" w:cs="Arial" w:eastAsia="Arial" w:hAnsi="Arial"/>
                <w:sz w:val="16"/>
                <w:szCs w:val="16"/>
                <w:color w:val="auto"/>
              </w:rPr>
              <w:t>Incremental stock compensation directly attributable to specific programs</w:t>
            </w:r>
          </w:p>
        </w:tc>
        <w:tc>
          <w:tcPr>
            <w:tcW w:w="13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7100" w:type="dxa"/>
            <w:vAlign w:val="bottom"/>
            <w:tcBorders>
              <w:bottom w:val="single" w:sz="8" w:color="E6E6E6"/>
            </w:tcBorders>
            <w:shd w:val="clear" w:color="auto" w:fill="EDFAEC"/>
          </w:tcPr>
          <w:p>
            <w:pPr>
              <w:ind w:left="180"/>
              <w:spacing w:after="0"/>
              <w:rPr>
                <w:sz w:val="20"/>
                <w:szCs w:val="20"/>
                <w:color w:val="auto"/>
              </w:rPr>
            </w:pPr>
            <w:r>
              <w:rPr>
                <w:rFonts w:ascii="Arial" w:cs="Arial" w:eastAsia="Arial" w:hAnsi="Arial"/>
                <w:sz w:val="16"/>
                <w:szCs w:val="16"/>
                <w:color w:val="auto"/>
              </w:rPr>
              <w:t>Other, including divestiture-related expenses and enterprise cost control and other initiatives</w:t>
            </w:r>
          </w:p>
        </w:tc>
        <w:tc>
          <w:tcPr>
            <w:tcW w:w="138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7100" w:type="dxa"/>
            <w:vAlign w:val="bottom"/>
            <w:tcBorders>
              <w:bottom w:val="single" w:sz="8" w:color="E6E6E6"/>
            </w:tcBorders>
          </w:tcPr>
          <w:p>
            <w:pPr>
              <w:ind w:left="280"/>
              <w:spacing w:after="0"/>
              <w:rPr>
                <w:sz w:val="20"/>
                <w:szCs w:val="20"/>
                <w:color w:val="auto"/>
              </w:rPr>
            </w:pPr>
            <w:r>
              <w:rPr>
                <w:rFonts w:ascii="Arial" w:cs="Arial" w:eastAsia="Arial" w:hAnsi="Arial"/>
                <w:sz w:val="16"/>
                <w:szCs w:val="16"/>
                <w:color w:val="auto"/>
              </w:rPr>
              <w:t>Subtotal</w:t>
            </w:r>
          </w:p>
        </w:tc>
        <w:tc>
          <w:tcPr>
            <w:tcW w:w="13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7100" w:type="dxa"/>
            <w:vAlign w:val="bottom"/>
            <w:tcBorders>
              <w:bottom w:val="single" w:sz="8" w:color="E6E6E6"/>
            </w:tcBorders>
            <w:shd w:val="clear" w:color="auto" w:fill="EDFAEC"/>
          </w:tcPr>
          <w:p>
            <w:pPr>
              <w:ind w:left="180"/>
              <w:spacing w:after="0" w:line="210" w:lineRule="exact"/>
              <w:rPr>
                <w:sz w:val="20"/>
                <w:szCs w:val="20"/>
                <w:color w:val="auto"/>
              </w:rPr>
            </w:pPr>
            <w:r>
              <w:rPr>
                <w:rFonts w:ascii="Arial" w:cs="Arial" w:eastAsia="Arial" w:hAnsi="Arial"/>
                <w:sz w:val="16"/>
                <w:szCs w:val="16"/>
                <w:color w:val="auto"/>
              </w:rPr>
              <w:t xml:space="preserve">Financing fees - Issuer Solutions acquisition </w:t>
            </w:r>
            <w:r>
              <w:rPr>
                <w:rFonts w:ascii="Arial" w:cs="Arial" w:eastAsia="Arial" w:hAnsi="Arial"/>
                <w:sz w:val="21"/>
                <w:szCs w:val="21"/>
                <w:color w:val="auto"/>
                <w:vertAlign w:val="superscript"/>
              </w:rPr>
              <w:t>(a)</w:t>
            </w:r>
          </w:p>
        </w:tc>
        <w:tc>
          <w:tcPr>
            <w:tcW w:w="138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7100" w:type="dxa"/>
            <w:vAlign w:val="bottom"/>
          </w:tcPr>
          <w:p>
            <w:pPr>
              <w:ind w:left="280"/>
              <w:spacing w:after="0" w:line="183" w:lineRule="exact"/>
              <w:rPr>
                <w:sz w:val="20"/>
                <w:szCs w:val="20"/>
                <w:color w:val="auto"/>
              </w:rPr>
            </w:pPr>
            <w:r>
              <w:rPr>
                <w:rFonts w:ascii="Arial" w:cs="Arial" w:eastAsia="Arial" w:hAnsi="Arial"/>
                <w:sz w:val="16"/>
                <w:szCs w:val="16"/>
                <w:color w:val="auto"/>
              </w:rPr>
              <w:t>Total</w:t>
            </w:r>
          </w:p>
        </w:tc>
        <w:tc>
          <w:tcPr>
            <w:tcW w:w="1380" w:type="dxa"/>
            <w:vAlign w:val="bottom"/>
            <w:tcBorders>
              <w:bottom w:val="single" w:sz="8" w:color="431C5B"/>
            </w:tcBorders>
          </w:tcPr>
          <w:p>
            <w:pPr>
              <w:jc w:val="right"/>
              <w:spacing w:after="0" w:line="183" w:lineRule="exact"/>
              <w:rPr>
                <w:sz w:val="20"/>
                <w:szCs w:val="20"/>
                <w:color w:val="auto"/>
              </w:rPr>
            </w:pPr>
            <w:r>
              <w:rPr>
                <w:rFonts w:ascii="Arial" w:cs="Arial" w:eastAsia="Arial" w:hAnsi="Arial"/>
                <w:sz w:val="16"/>
                <w:szCs w:val="16"/>
                <w:color w:val="auto"/>
              </w:rPr>
              <w:t>$ 709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380" w:type="dxa"/>
            <w:vAlign w:val="bottom"/>
            <w:tcBorders>
              <w:bottom w:val="single" w:sz="8" w:color="431C5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7100" w:type="dxa"/>
            <w:vAlign w:val="bottom"/>
            <w:tcBorders>
              <w:bottom w:val="single" w:sz="8" w:color="431C5B"/>
            </w:tcBorders>
          </w:tcPr>
          <w:p>
            <w:pPr>
              <w:spacing w:after="0" w:line="20" w:lineRule="exact"/>
              <w:rPr>
                <w:sz w:val="1"/>
                <w:szCs w:val="1"/>
                <w:color w:val="auto"/>
              </w:rPr>
            </w:pPr>
          </w:p>
        </w:tc>
        <w:tc>
          <w:tcPr>
            <w:tcW w:w="1380" w:type="dxa"/>
            <w:vAlign w:val="bottom"/>
            <w:tcBorders>
              <w:bottom w:val="single" w:sz="8" w:color="431C5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40" w:right="419" w:hanging="251"/>
        <w:spacing w:after="0" w:line="251" w:lineRule="auto"/>
        <w:tabs>
          <w:tab w:leader="none" w:pos="640" w:val="left"/>
        </w:tabs>
        <w:numPr>
          <w:ilvl w:val="1"/>
          <w:numId w:val="147"/>
        </w:numPr>
        <w:rPr>
          <w:rFonts w:ascii="Arial" w:cs="Arial" w:eastAsia="Arial" w:hAnsi="Arial"/>
          <w:sz w:val="15"/>
          <w:szCs w:val="15"/>
          <w:color w:val="auto"/>
          <w:vertAlign w:val="superscript"/>
        </w:rPr>
      </w:pPr>
      <w:r>
        <w:rPr>
          <w:rFonts w:ascii="Arial" w:cs="Arial" w:eastAsia="Arial" w:hAnsi="Arial"/>
          <w:sz w:val="12"/>
          <w:szCs w:val="12"/>
          <w:color w:val="auto"/>
        </w:rPr>
        <w:t>This item represents bridge facility fees incurred to secure funding for the pending Issuer Solutions business acquisition from Global Payments. These fees are recorded as a component of Interest expense, net on our consolidated statements of earnings (loss). Accordingly, this item is included in Acquisition, integration and other costs for purposes of calculating Adjusted net earnings but not Adjusted EBITDA.</w:t>
      </w:r>
    </w:p>
    <w:p>
      <w:pPr>
        <w:spacing w:after="0" w:line="12" w:lineRule="exact"/>
        <w:rPr>
          <w:rFonts w:ascii="Arial" w:cs="Arial" w:eastAsia="Arial" w:hAnsi="Arial"/>
          <w:sz w:val="15"/>
          <w:szCs w:val="15"/>
          <w:color w:val="auto"/>
          <w:vertAlign w:val="superscript"/>
        </w:rPr>
      </w:pPr>
    </w:p>
    <w:p>
      <w:pPr>
        <w:ind w:left="380" w:hanging="250"/>
        <w:spacing w:after="0"/>
        <w:tabs>
          <w:tab w:leader="none" w:pos="380" w:val="left"/>
        </w:tabs>
        <w:numPr>
          <w:ilvl w:val="0"/>
          <w:numId w:val="148"/>
        </w:numPr>
        <w:rPr>
          <w:rFonts w:ascii="Arial" w:cs="Arial" w:eastAsia="Arial" w:hAnsi="Arial"/>
          <w:sz w:val="16"/>
          <w:szCs w:val="16"/>
          <w:color w:val="auto"/>
          <w:vertAlign w:val="superscript"/>
        </w:rPr>
      </w:pPr>
      <w:r>
        <w:rPr>
          <w:rFonts w:ascii="Arial" w:cs="Arial" w:eastAsia="Arial" w:hAnsi="Arial"/>
          <w:sz w:val="13"/>
          <w:szCs w:val="13"/>
          <w:color w:val="auto"/>
        </w:rPr>
        <w:t>There were no material impairments during the year ended December 31, 2025.</w:t>
      </w:r>
    </w:p>
    <w:p>
      <w:pPr>
        <w:spacing w:after="0" w:line="63" w:lineRule="exact"/>
        <w:rPr>
          <w:rFonts w:ascii="Arial" w:cs="Arial" w:eastAsia="Arial" w:hAnsi="Arial"/>
          <w:sz w:val="16"/>
          <w:szCs w:val="16"/>
          <w:color w:val="auto"/>
          <w:vertAlign w:val="superscript"/>
        </w:rPr>
      </w:pPr>
    </w:p>
    <w:p>
      <w:pPr>
        <w:ind w:left="380" w:right="159" w:hanging="250"/>
        <w:spacing w:after="0" w:line="252" w:lineRule="auto"/>
        <w:tabs>
          <w:tab w:leader="none" w:pos="380" w:val="left"/>
        </w:tabs>
        <w:numPr>
          <w:ilvl w:val="0"/>
          <w:numId w:val="148"/>
        </w:numPr>
        <w:rPr>
          <w:rFonts w:ascii="Arial" w:cs="Arial" w:eastAsia="Arial" w:hAnsi="Arial"/>
          <w:sz w:val="16"/>
          <w:szCs w:val="16"/>
          <w:color w:val="auto"/>
          <w:vertAlign w:val="superscript"/>
        </w:rPr>
      </w:pPr>
      <w:r>
        <w:rPr>
          <w:rFonts w:ascii="Arial" w:cs="Arial" w:eastAsia="Arial" w:hAnsi="Arial"/>
          <w:sz w:val="13"/>
          <w:szCs w:val="13"/>
          <w:color w:val="auto"/>
        </w:rPr>
        <w:t>Non-operating (income) expense primarily consists of other income and expense items outside of the Company's operating activities, including fair value adjustments on certain non-operating assets and liabilities and foreign currency transaction remeasurement gains and losses. For the year ended December 31, 2025, earnings from continuing operations also includes a $108 million write down, triggered by the agreement to sell our remaining equity interest in Worldpay, of the contingent consideration included as part of the 2024 sale of a 55% ownership interest in its Worldpay Merchant Solutions business.</w:t>
      </w:r>
    </w:p>
    <w:p>
      <w:pPr>
        <w:spacing w:after="0" w:line="42" w:lineRule="exact"/>
        <w:rPr>
          <w:rFonts w:ascii="Arial" w:cs="Arial" w:eastAsia="Arial" w:hAnsi="Arial"/>
          <w:sz w:val="16"/>
          <w:szCs w:val="16"/>
          <w:color w:val="auto"/>
          <w:vertAlign w:val="superscript"/>
        </w:rPr>
      </w:pPr>
    </w:p>
    <w:p>
      <w:pPr>
        <w:ind w:left="380" w:right="239" w:hanging="250"/>
        <w:spacing w:after="0" w:line="236" w:lineRule="auto"/>
        <w:tabs>
          <w:tab w:leader="none" w:pos="380" w:val="left"/>
        </w:tabs>
        <w:numPr>
          <w:ilvl w:val="0"/>
          <w:numId w:val="148"/>
        </w:numPr>
        <w:rPr>
          <w:rFonts w:ascii="Arial" w:cs="Arial" w:eastAsia="Arial" w:hAnsi="Arial"/>
          <w:sz w:val="16"/>
          <w:szCs w:val="16"/>
          <w:color w:val="auto"/>
          <w:vertAlign w:val="superscript"/>
        </w:rPr>
      </w:pPr>
      <w:r>
        <w:rPr>
          <w:rFonts w:ascii="Arial" w:cs="Arial" w:eastAsia="Arial" w:hAnsi="Arial"/>
          <w:sz w:val="13"/>
          <w:szCs w:val="13"/>
          <w:color w:val="auto"/>
        </w:rPr>
        <w:t>This adjustment is based on an average adjusted effective tax rate of 11% for the annual period ended December 31, 2025, which reflects adjustments to our GAAP effective tax rate to take into account primarily certain cash tax benefits from our equity method investment in Worldpay.</w:t>
      </w:r>
    </w:p>
    <w:p>
      <w:pPr>
        <w:spacing w:after="0" w:line="50" w:lineRule="exact"/>
        <w:rPr>
          <w:rFonts w:ascii="Arial" w:cs="Arial" w:eastAsia="Arial" w:hAnsi="Arial"/>
          <w:sz w:val="16"/>
          <w:szCs w:val="16"/>
          <w:color w:val="auto"/>
          <w:vertAlign w:val="superscript"/>
        </w:rPr>
      </w:pPr>
    </w:p>
    <w:p>
      <w:pPr>
        <w:ind w:left="380" w:right="379" w:hanging="250"/>
        <w:spacing w:after="0" w:line="272" w:lineRule="auto"/>
        <w:tabs>
          <w:tab w:leader="none" w:pos="380" w:val="left"/>
        </w:tabs>
        <w:numPr>
          <w:ilvl w:val="0"/>
          <w:numId w:val="148"/>
        </w:numPr>
        <w:rPr>
          <w:rFonts w:ascii="Arial" w:cs="Arial" w:eastAsia="Arial" w:hAnsi="Arial"/>
          <w:sz w:val="15"/>
          <w:szCs w:val="15"/>
          <w:color w:val="auto"/>
          <w:vertAlign w:val="superscript"/>
        </w:rPr>
      </w:pPr>
      <w:r>
        <w:rPr>
          <w:rFonts w:ascii="Arial" w:cs="Arial" w:eastAsia="Arial" w:hAnsi="Arial"/>
          <w:sz w:val="12"/>
          <w:szCs w:val="12"/>
          <w:color w:val="auto"/>
        </w:rPr>
        <w:t>FIS completed the separation of Worldpay on January 31, 2024, retaining a non-controlling 45% ownership interest that is recorded under the equity method of accounting, net of investor-level tax. FIS' share of Worldpay's results under the equity method of accounting reflects activity beginning on February 1, 2024. Our investor-level tax benefit (expense) was $(307) million for the year ended December 31, 2025. Our investor-level taxes for the year ended December 31, 2025 include the impact of remeasurements of deferred tax liabilities and valuation allowances on our U.S. capital</w:t>
      </w:r>
    </w:p>
    <w:p>
      <w:pPr>
        <w:ind w:left="380"/>
        <w:spacing w:after="0"/>
        <w:rPr>
          <w:rFonts w:ascii="Arial" w:cs="Arial" w:eastAsia="Arial" w:hAnsi="Arial"/>
          <w:sz w:val="15"/>
          <w:szCs w:val="15"/>
          <w:color w:val="auto"/>
          <w:vertAlign w:val="superscript"/>
        </w:rPr>
      </w:pPr>
      <w:r>
        <w:rPr>
          <w:rFonts w:ascii="Arial" w:cs="Arial" w:eastAsia="Arial" w:hAnsi="Arial"/>
          <w:sz w:val="13"/>
          <w:szCs w:val="13"/>
          <w:color w:val="auto"/>
        </w:rPr>
        <w:t>loss carryforward.</w:t>
      </w:r>
    </w:p>
    <w:p>
      <w:pPr>
        <w:spacing w:after="0" w:line="62" w:lineRule="exact"/>
        <w:rPr>
          <w:rFonts w:ascii="Arial" w:cs="Arial" w:eastAsia="Arial" w:hAnsi="Arial"/>
          <w:sz w:val="15"/>
          <w:szCs w:val="15"/>
          <w:color w:val="auto"/>
          <w:vertAlign w:val="superscript"/>
        </w:rPr>
      </w:pPr>
    </w:p>
    <w:p>
      <w:pPr>
        <w:ind w:left="380" w:right="179" w:hanging="250"/>
        <w:spacing w:after="0" w:line="236" w:lineRule="auto"/>
        <w:tabs>
          <w:tab w:leader="none" w:pos="380" w:val="left"/>
        </w:tabs>
        <w:numPr>
          <w:ilvl w:val="0"/>
          <w:numId w:val="148"/>
        </w:numPr>
        <w:rPr>
          <w:rFonts w:ascii="Arial" w:cs="Arial" w:eastAsia="Arial" w:hAnsi="Arial"/>
          <w:sz w:val="16"/>
          <w:szCs w:val="16"/>
          <w:color w:val="auto"/>
          <w:vertAlign w:val="superscript"/>
        </w:rPr>
      </w:pPr>
      <w:r>
        <w:rPr>
          <w:rFonts w:ascii="Arial" w:cs="Arial" w:eastAsia="Arial" w:hAnsi="Arial"/>
          <w:sz w:val="13"/>
          <w:szCs w:val="13"/>
          <w:color w:val="auto"/>
        </w:rPr>
        <w:t>This item represents FIS' proportionate share of Worldpay's non-GAAP adjustments on its earnings (loss) consistent with FIS' non-GAAP measures and is comprised of the following:</w:t>
      </w:r>
    </w:p>
    <w:p>
      <w:pPr>
        <w:spacing w:after="0" w:line="248"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130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431C5B"/>
              </w:rPr>
              <w:t>Year Ended</w:t>
            </w:r>
          </w:p>
        </w:tc>
        <w:tc>
          <w:tcPr>
            <w:tcW w:w="0" w:type="dxa"/>
            <w:vAlign w:val="bottom"/>
          </w:tcPr>
          <w:p>
            <w:pPr>
              <w:spacing w:after="0"/>
              <w:rPr>
                <w:sz w:val="1"/>
                <w:szCs w:val="1"/>
                <w:color w:val="auto"/>
              </w:rPr>
            </w:pPr>
          </w:p>
        </w:tc>
      </w:tr>
      <w:tr>
        <w:trPr>
          <w:trHeight w:val="171"/>
        </w:trPr>
        <w:tc>
          <w:tcPr>
            <w:tcW w:w="7180" w:type="dxa"/>
            <w:vAlign w:val="bottom"/>
          </w:tcPr>
          <w:p>
            <w:pPr>
              <w:spacing w:after="0"/>
              <w:rPr>
                <w:sz w:val="14"/>
                <w:szCs w:val="14"/>
                <w:color w:val="auto"/>
              </w:rPr>
            </w:pPr>
          </w:p>
        </w:tc>
        <w:tc>
          <w:tcPr>
            <w:tcW w:w="1300" w:type="dxa"/>
            <w:vAlign w:val="bottom"/>
            <w:tcBorders>
              <w:bottom w:val="single" w:sz="8" w:color="431C5B"/>
            </w:tcBorders>
            <w:gridSpan w:val="2"/>
          </w:tcPr>
          <w:p>
            <w:pPr>
              <w:jc w:val="right"/>
              <w:ind w:right="99"/>
              <w:spacing w:after="0"/>
              <w:rPr>
                <w:sz w:val="20"/>
                <w:szCs w:val="20"/>
                <w:color w:val="auto"/>
              </w:rPr>
            </w:pPr>
            <w:r>
              <w:rPr>
                <w:rFonts w:ascii="Arial" w:cs="Arial" w:eastAsia="Arial" w:hAnsi="Arial"/>
                <w:sz w:val="14"/>
                <w:szCs w:val="14"/>
                <w:b w:val="1"/>
                <w:bCs w:val="1"/>
                <w:color w:val="431C5B"/>
              </w:rPr>
              <w:t>December 31,</w:t>
            </w:r>
          </w:p>
        </w:tc>
        <w:tc>
          <w:tcPr>
            <w:tcW w:w="0" w:type="dxa"/>
            <w:vAlign w:val="bottom"/>
          </w:tcPr>
          <w:p>
            <w:pPr>
              <w:spacing w:after="0"/>
              <w:rPr>
                <w:sz w:val="1"/>
                <w:szCs w:val="1"/>
                <w:color w:val="auto"/>
              </w:rPr>
            </w:pPr>
          </w:p>
        </w:tc>
      </w:tr>
      <w:tr>
        <w:trPr>
          <w:trHeight w:val="196"/>
        </w:trPr>
        <w:tc>
          <w:tcPr>
            <w:tcW w:w="7180" w:type="dxa"/>
            <w:vAlign w:val="bottom"/>
            <w:tcBorders>
              <w:bottom w:val="single" w:sz="8" w:color="431C5B"/>
            </w:tcBorders>
          </w:tcPr>
          <w:p>
            <w:pPr>
              <w:ind w:left="60"/>
              <w:spacing w:after="0"/>
              <w:rPr>
                <w:sz w:val="20"/>
                <w:szCs w:val="20"/>
                <w:color w:val="auto"/>
              </w:rPr>
            </w:pPr>
            <w:r>
              <w:rPr>
                <w:rFonts w:ascii="Arial" w:cs="Arial" w:eastAsia="Arial" w:hAnsi="Arial"/>
                <w:sz w:val="14"/>
                <w:szCs w:val="14"/>
                <w:b w:val="1"/>
                <w:bCs w:val="1"/>
                <w:color w:val="431C5B"/>
              </w:rPr>
              <w:t>($ in Millions)</w:t>
            </w:r>
          </w:p>
        </w:tc>
        <w:tc>
          <w:tcPr>
            <w:tcW w:w="820" w:type="dxa"/>
            <w:vAlign w:val="bottom"/>
            <w:tcBorders>
              <w:bottom w:val="single" w:sz="8" w:color="431C5B"/>
            </w:tcBorders>
          </w:tcPr>
          <w:p>
            <w:pPr>
              <w:jc w:val="right"/>
              <w:spacing w:after="0"/>
              <w:rPr>
                <w:sz w:val="20"/>
                <w:szCs w:val="20"/>
                <w:color w:val="auto"/>
              </w:rPr>
            </w:pPr>
            <w:r>
              <w:rPr>
                <w:rFonts w:ascii="Arial" w:cs="Arial" w:eastAsia="Arial" w:hAnsi="Arial"/>
                <w:sz w:val="14"/>
                <w:szCs w:val="14"/>
                <w:b w:val="1"/>
                <w:bCs w:val="1"/>
                <w:color w:val="431C5B"/>
              </w:rPr>
              <w:t>2025</w:t>
            </w:r>
          </w:p>
        </w:tc>
        <w:tc>
          <w:tcPr>
            <w:tcW w:w="480" w:type="dxa"/>
            <w:vAlign w:val="bottom"/>
            <w:tcBorders>
              <w:bottom w:val="single" w:sz="8" w:color="431C5B"/>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E6E6E6"/>
            </w:tcBorders>
            <w:shd w:val="clear" w:color="auto" w:fill="EDFAEC"/>
          </w:tcPr>
          <w:p>
            <w:pPr>
              <w:ind w:left="60"/>
              <w:spacing w:after="0"/>
              <w:rPr>
                <w:sz w:val="20"/>
                <w:szCs w:val="20"/>
                <w:color w:val="auto"/>
              </w:rPr>
            </w:pPr>
            <w:r>
              <w:rPr>
                <w:rFonts w:ascii="Arial" w:cs="Arial" w:eastAsia="Arial" w:hAnsi="Arial"/>
                <w:sz w:val="16"/>
                <w:szCs w:val="16"/>
                <w:b w:val="1"/>
                <w:bCs w:val="1"/>
                <w:color w:val="auto"/>
              </w:rPr>
              <w:t>FIS' share of Worldpay:</w:t>
            </w:r>
          </w:p>
        </w:tc>
        <w:tc>
          <w:tcPr>
            <w:tcW w:w="820" w:type="dxa"/>
            <w:vAlign w:val="bottom"/>
            <w:tcBorders>
              <w:bottom w:val="single" w:sz="8" w:color="E6E6E6"/>
            </w:tcBorders>
            <w:shd w:val="clear" w:color="auto" w:fill="EDFAEC"/>
          </w:tcPr>
          <w:p>
            <w:pPr>
              <w:spacing w:after="0"/>
              <w:rPr>
                <w:sz w:val="18"/>
                <w:szCs w:val="18"/>
                <w:color w:val="auto"/>
              </w:rPr>
            </w:pPr>
          </w:p>
        </w:tc>
        <w:tc>
          <w:tcPr>
            <w:tcW w:w="480" w:type="dxa"/>
            <w:vAlign w:val="bottom"/>
            <w:tcBorders>
              <w:bottom w:val="single" w:sz="8" w:color="E6E6E6"/>
            </w:tcBorders>
            <w:shd w:val="clear" w:color="auto" w:fill="EDFAE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80" w:type="dxa"/>
            <w:vAlign w:val="bottom"/>
            <w:tcBorders>
              <w:bottom w:val="single" w:sz="8" w:color="E6E6E6"/>
            </w:tcBorders>
          </w:tcPr>
          <w:p>
            <w:pPr>
              <w:ind w:left="60"/>
              <w:spacing w:after="0"/>
              <w:rPr>
                <w:sz w:val="20"/>
                <w:szCs w:val="20"/>
                <w:color w:val="auto"/>
              </w:rPr>
            </w:pPr>
            <w:r>
              <w:rPr>
                <w:rFonts w:ascii="Arial" w:cs="Arial" w:eastAsia="Arial" w:hAnsi="Arial"/>
                <w:sz w:val="16"/>
                <w:szCs w:val="16"/>
                <w:color w:val="auto"/>
              </w:rPr>
              <w:t>Purchase accounting amortization</w:t>
            </w:r>
          </w:p>
        </w:tc>
        <w:tc>
          <w:tcPr>
            <w:tcW w:w="82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E6E6E6"/>
            </w:tcBorders>
            <w:shd w:val="clear" w:color="auto" w:fill="EDFAEC"/>
          </w:tcPr>
          <w:p>
            <w:pPr>
              <w:ind w:left="60"/>
              <w:spacing w:after="0" w:line="210" w:lineRule="exact"/>
              <w:rPr>
                <w:sz w:val="20"/>
                <w:szCs w:val="20"/>
                <w:color w:val="auto"/>
              </w:rPr>
            </w:pPr>
            <w:r>
              <w:rPr>
                <w:rFonts w:ascii="Arial" w:cs="Arial" w:eastAsia="Arial" w:hAnsi="Arial"/>
                <w:sz w:val="16"/>
                <w:szCs w:val="16"/>
                <w:color w:val="auto"/>
              </w:rPr>
              <w:t xml:space="preserve">Acquisition, integration and other costs </w:t>
            </w:r>
            <w:r>
              <w:rPr>
                <w:rFonts w:ascii="Arial" w:cs="Arial" w:eastAsia="Arial" w:hAnsi="Arial"/>
                <w:sz w:val="21"/>
                <w:szCs w:val="21"/>
                <w:color w:val="auto"/>
                <w:vertAlign w:val="superscript"/>
              </w:rPr>
              <w:t>(a)</w:t>
            </w:r>
          </w:p>
        </w:tc>
        <w:tc>
          <w:tcPr>
            <w:tcW w:w="820" w:type="dxa"/>
            <w:vAlign w:val="bottom"/>
            <w:tcBorders>
              <w:bottom w:val="single" w:sz="8" w:color="E6E6E6"/>
            </w:tcBorders>
            <w:shd w:val="clear" w:color="auto" w:fill="EDFAEC"/>
          </w:tcPr>
          <w:p>
            <w:pPr>
              <w:spacing w:after="0"/>
              <w:rPr>
                <w:sz w:val="18"/>
                <w:szCs w:val="18"/>
                <w:color w:val="auto"/>
              </w:rPr>
            </w:pPr>
          </w:p>
        </w:tc>
        <w:tc>
          <w:tcPr>
            <w:tcW w:w="480" w:type="dxa"/>
            <w:vAlign w:val="bottom"/>
            <w:tcBorders>
              <w:bottom w:val="single" w:sz="8" w:color="E6E6E6"/>
            </w:tcBorders>
            <w:shd w:val="clear" w:color="auto" w:fill="EDFAEC"/>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E6E6E6"/>
            </w:tcBorders>
          </w:tcPr>
          <w:p>
            <w:pPr>
              <w:ind w:left="60"/>
              <w:spacing w:after="0"/>
              <w:rPr>
                <w:sz w:val="20"/>
                <w:szCs w:val="20"/>
                <w:color w:val="auto"/>
              </w:rPr>
            </w:pPr>
            <w:r>
              <w:rPr>
                <w:rFonts w:ascii="Arial" w:cs="Arial" w:eastAsia="Arial" w:hAnsi="Arial"/>
                <w:sz w:val="16"/>
                <w:szCs w:val="16"/>
                <w:color w:val="auto"/>
              </w:rPr>
              <w:t>Non-operating (income) expense</w:t>
            </w:r>
          </w:p>
        </w:tc>
        <w:tc>
          <w:tcPr>
            <w:tcW w:w="820" w:type="dxa"/>
            <w:vAlign w:val="bottom"/>
            <w:tcBorders>
              <w:bottom w:val="single" w:sz="8" w:color="E6E6E6"/>
            </w:tcBorders>
          </w:tcPr>
          <w:p>
            <w:pPr>
              <w:spacing w:after="0"/>
              <w:rPr>
                <w:sz w:val="18"/>
                <w:szCs w:val="18"/>
                <w:color w:val="auto"/>
              </w:rPr>
            </w:pPr>
          </w:p>
        </w:tc>
        <w:tc>
          <w:tcPr>
            <w:tcW w:w="480" w:type="dxa"/>
            <w:vAlign w:val="bottom"/>
            <w:tcBorders>
              <w:bottom w:val="single" w:sz="8" w:color="E6E6E6"/>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E6E6E6"/>
            </w:tcBorders>
            <w:shd w:val="clear" w:color="auto" w:fill="EDFAEC"/>
          </w:tcPr>
          <w:p>
            <w:pPr>
              <w:ind w:left="60"/>
              <w:spacing w:after="0"/>
              <w:rPr>
                <w:sz w:val="20"/>
                <w:szCs w:val="20"/>
                <w:color w:val="auto"/>
              </w:rPr>
            </w:pPr>
            <w:r>
              <w:rPr>
                <w:rFonts w:ascii="Arial" w:cs="Arial" w:eastAsia="Arial" w:hAnsi="Arial"/>
                <w:sz w:val="16"/>
                <w:szCs w:val="16"/>
                <w:color w:val="auto"/>
              </w:rPr>
              <w:t>Non-GAAP tax (provision) benefit</w:t>
            </w:r>
          </w:p>
        </w:tc>
        <w:tc>
          <w:tcPr>
            <w:tcW w:w="820" w:type="dxa"/>
            <w:vAlign w:val="bottom"/>
            <w:tcBorders>
              <w:bottom w:val="single" w:sz="8" w:color="431C5B"/>
            </w:tcBorders>
            <w:shd w:val="clear" w:color="auto" w:fill="EDFAEC"/>
          </w:tcPr>
          <w:p>
            <w:pPr>
              <w:spacing w:after="0"/>
              <w:rPr>
                <w:sz w:val="18"/>
                <w:szCs w:val="18"/>
                <w:color w:val="auto"/>
              </w:rPr>
            </w:pPr>
          </w:p>
        </w:tc>
        <w:tc>
          <w:tcPr>
            <w:tcW w:w="480" w:type="dxa"/>
            <w:vAlign w:val="bottom"/>
            <w:tcBorders>
              <w:bottom w:val="single" w:sz="8" w:color="431C5B"/>
            </w:tcBorders>
            <w:shd w:val="clear" w:color="auto" w:fill="EDFAEC"/>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9"/>
        </w:trPr>
        <w:tc>
          <w:tcPr>
            <w:tcW w:w="7180" w:type="dxa"/>
            <w:vAlign w:val="bottom"/>
          </w:tcPr>
          <w:p>
            <w:pPr>
              <w:ind w:left="60"/>
              <w:spacing w:after="0"/>
              <w:rPr>
                <w:sz w:val="20"/>
                <w:szCs w:val="20"/>
                <w:color w:val="auto"/>
              </w:rPr>
            </w:pPr>
            <w:r>
              <w:rPr>
                <w:rFonts w:ascii="Arial" w:cs="Arial" w:eastAsia="Arial" w:hAnsi="Arial"/>
                <w:sz w:val="16"/>
                <w:szCs w:val="16"/>
                <w:color w:val="auto"/>
              </w:rPr>
              <w:t>Non-GAAP adjustments on equity method investment earnings (loss), net of related (provision)</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w w:val="99"/>
              </w:rPr>
              <w:t>1,087</w:t>
            </w:r>
          </w:p>
        </w:tc>
        <w:tc>
          <w:tcPr>
            <w:tcW w:w="0" w:type="dxa"/>
            <w:vAlign w:val="bottom"/>
          </w:tcPr>
          <w:p>
            <w:pPr>
              <w:spacing w:after="0"/>
              <w:rPr>
                <w:sz w:val="1"/>
                <w:szCs w:val="1"/>
                <w:color w:val="auto"/>
              </w:rPr>
            </w:pPr>
          </w:p>
        </w:tc>
      </w:tr>
      <w:tr>
        <w:trPr>
          <w:trHeight w:val="120"/>
        </w:trPr>
        <w:tc>
          <w:tcPr>
            <w:tcW w:w="7180" w:type="dxa"/>
            <w:vAlign w:val="bottom"/>
            <w:vMerge w:val="restart"/>
          </w:tcPr>
          <w:p>
            <w:pPr>
              <w:ind w:left="60"/>
              <w:spacing w:after="0" w:line="176" w:lineRule="exact"/>
              <w:rPr>
                <w:sz w:val="20"/>
                <w:szCs w:val="20"/>
                <w:color w:val="auto"/>
              </w:rPr>
            </w:pPr>
            <w:r>
              <w:rPr>
                <w:rFonts w:ascii="Arial" w:cs="Arial" w:eastAsia="Arial" w:hAnsi="Arial"/>
                <w:sz w:val="16"/>
                <w:szCs w:val="16"/>
                <w:color w:val="auto"/>
              </w:rPr>
              <w:t>benefit for income taxes</w:t>
            </w: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7180" w:type="dxa"/>
            <w:vAlign w:val="bottom"/>
            <w:vMerge w:val="continue"/>
          </w:tcPr>
          <w:p>
            <w:pPr>
              <w:spacing w:after="0"/>
              <w:rPr>
                <w:sz w:val="4"/>
                <w:szCs w:val="4"/>
                <w:color w:val="auto"/>
              </w:rPr>
            </w:pPr>
          </w:p>
        </w:tc>
        <w:tc>
          <w:tcPr>
            <w:tcW w:w="820" w:type="dxa"/>
            <w:vAlign w:val="bottom"/>
            <w:tcBorders>
              <w:bottom w:val="single" w:sz="8" w:color="431C5B"/>
            </w:tcBorders>
          </w:tcPr>
          <w:p>
            <w:pPr>
              <w:spacing w:after="0"/>
              <w:rPr>
                <w:sz w:val="4"/>
                <w:szCs w:val="4"/>
                <w:color w:val="auto"/>
              </w:rPr>
            </w:pPr>
          </w:p>
        </w:tc>
        <w:tc>
          <w:tcPr>
            <w:tcW w:w="480" w:type="dxa"/>
            <w:vAlign w:val="bottom"/>
            <w:tcBorders>
              <w:bottom w:val="single" w:sz="8" w:color="431C5B"/>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80" w:type="dxa"/>
            <w:vAlign w:val="bottom"/>
            <w:tcBorders>
              <w:bottom w:val="single" w:sz="8" w:color="E6E6E6"/>
            </w:tcBorders>
          </w:tcPr>
          <w:p>
            <w:pPr>
              <w:spacing w:after="0" w:line="20" w:lineRule="exact"/>
              <w:rPr>
                <w:sz w:val="1"/>
                <w:szCs w:val="1"/>
                <w:color w:val="auto"/>
              </w:rPr>
            </w:pPr>
          </w:p>
        </w:tc>
        <w:tc>
          <w:tcPr>
            <w:tcW w:w="820" w:type="dxa"/>
            <w:vAlign w:val="bottom"/>
            <w:tcBorders>
              <w:bottom w:val="single" w:sz="8" w:color="431C5B"/>
            </w:tcBorders>
          </w:tcPr>
          <w:p>
            <w:pPr>
              <w:spacing w:after="0" w:line="20" w:lineRule="exact"/>
              <w:rPr>
                <w:sz w:val="1"/>
                <w:szCs w:val="1"/>
                <w:color w:val="auto"/>
              </w:rPr>
            </w:pPr>
          </w:p>
        </w:tc>
        <w:tc>
          <w:tcPr>
            <w:tcW w:w="480" w:type="dxa"/>
            <w:vAlign w:val="bottom"/>
            <w:tcBorders>
              <w:bottom w:val="single" w:sz="8" w:color="431C5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Amounts in table may not sum due to rounding.</w:t>
      </w:r>
    </w:p>
    <w:p>
      <w:pPr>
        <w:spacing w:after="0" w:line="136" w:lineRule="exact"/>
        <w:rPr>
          <w:sz w:val="20"/>
          <w:szCs w:val="20"/>
          <w:color w:val="auto"/>
        </w:rPr>
      </w:pPr>
    </w:p>
    <w:p>
      <w:pPr>
        <w:ind w:left="640" w:right="159" w:hanging="251"/>
        <w:spacing w:after="0" w:line="236" w:lineRule="auto"/>
        <w:tabs>
          <w:tab w:leader="none" w:pos="640" w:val="left"/>
        </w:tabs>
        <w:numPr>
          <w:ilvl w:val="0"/>
          <w:numId w:val="149"/>
        </w:numPr>
        <w:rPr>
          <w:rFonts w:ascii="Arial" w:cs="Arial" w:eastAsia="Arial" w:hAnsi="Arial"/>
          <w:sz w:val="16"/>
          <w:szCs w:val="16"/>
          <w:color w:val="auto"/>
          <w:vertAlign w:val="superscript"/>
        </w:rPr>
      </w:pPr>
      <w:r>
        <w:rPr>
          <w:rFonts w:ascii="Arial" w:cs="Arial" w:eastAsia="Arial" w:hAnsi="Arial"/>
          <w:sz w:val="13"/>
          <w:szCs w:val="13"/>
          <w:color w:val="auto"/>
        </w:rPr>
        <w:t>Worldpay acquisition, integration, and other costs for the year ended December 31, 2025 consist primarily of transaction and transition costs related to the separation from FIS.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20" w:hanging="429"/>
        <w:spacing w:after="0"/>
        <w:tabs>
          <w:tab w:leader="none" w:pos="620" w:val="left"/>
        </w:tabs>
        <w:numPr>
          <w:ilvl w:val="0"/>
          <w:numId w:val="150"/>
        </w:numPr>
        <w:rPr>
          <w:rFonts w:ascii="Arial" w:cs="Arial" w:eastAsia="Arial" w:hAnsi="Arial"/>
          <w:sz w:val="14"/>
          <w:szCs w:val="14"/>
          <w:b w:val="1"/>
          <w:bCs w:val="1"/>
          <w:color w:val="431C5B"/>
        </w:rPr>
      </w:pPr>
      <w:r>
        <w:rPr>
          <w:rFonts w:ascii="Arial" w:cs="Arial" w:eastAsia="Arial" w:hAnsi="Arial"/>
          <w:sz w:val="14"/>
          <w:szCs w:val="14"/>
          <w:color w:val="auto"/>
        </w:rPr>
        <w:t>FIS Global</w:t>
      </w:r>
    </w:p>
    <w:p>
      <w:pPr>
        <w:sectPr>
          <w:pgSz w:w="11900" w:h="16838" w:orient="portrait"/>
          <w:cols w:equalWidth="0" w:num="1">
            <w:col w:w="9019"/>
          </w:cols>
          <w:pgMar w:left="1440" w:top="657" w:right="1440" w:bottom="1440" w:gutter="0" w:footer="0" w:header="0"/>
          <w:type w:val="continuous"/>
        </w:sectPr>
      </w:pPr>
    </w:p>
    <w:bookmarkStart w:id="107" w:name="page108"/>
    <w:bookmarkEnd w:id="107"/>
    <w:p>
      <w:pPr>
        <w:ind w:left="8080"/>
        <w:spacing w:after="0"/>
        <w:rPr>
          <w:sz w:val="20"/>
          <w:szCs w:val="20"/>
          <w:color w:val="auto"/>
        </w:rPr>
      </w:pPr>
      <w:r>
        <w:rPr>
          <w:rFonts w:ascii="Arial" w:cs="Arial" w:eastAsia="Arial" w:hAnsi="Arial"/>
          <w:sz w:val="14"/>
          <w:szCs w:val="14"/>
          <w:b w:val="1"/>
          <w:bCs w:val="1"/>
          <w:color w:val="431C5B"/>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Appendix A</w:t>
      </w:r>
    </w:p>
    <w:p>
      <w:pPr>
        <w:spacing w:after="0" w:line="393" w:lineRule="exact"/>
        <w:rPr>
          <w:sz w:val="20"/>
          <w:szCs w:val="20"/>
          <w:color w:val="auto"/>
        </w:rPr>
      </w:pPr>
    </w:p>
    <w:p>
      <w:pPr>
        <w:ind w:left="140"/>
        <w:spacing w:after="0"/>
        <w:rPr>
          <w:sz w:val="20"/>
          <w:szCs w:val="20"/>
          <w:color w:val="auto"/>
        </w:rPr>
      </w:pPr>
      <w:r>
        <w:rPr>
          <w:rFonts w:ascii="Arial" w:cs="Arial" w:eastAsia="Arial" w:hAnsi="Arial"/>
          <w:sz w:val="25"/>
          <w:szCs w:val="25"/>
          <w:color w:val="431C5B"/>
        </w:rPr>
        <w:t>4. Adjusted Free Cash Flow and Adjusted Free Cash Flow Conversion</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74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431C5B"/>
              </w:rPr>
              <w:t>Year Ended</w:t>
            </w:r>
          </w:p>
        </w:tc>
      </w:tr>
      <w:tr>
        <w:trPr>
          <w:trHeight w:val="171"/>
        </w:trPr>
        <w:tc>
          <w:tcPr>
            <w:tcW w:w="7400" w:type="dxa"/>
            <w:vAlign w:val="bottom"/>
          </w:tcPr>
          <w:p>
            <w:pPr>
              <w:spacing w:after="0"/>
              <w:rPr>
                <w:sz w:val="14"/>
                <w:szCs w:val="14"/>
                <w:color w:val="auto"/>
              </w:rPr>
            </w:pPr>
          </w:p>
        </w:tc>
        <w:tc>
          <w:tcPr>
            <w:tcW w:w="136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December 31,</w:t>
            </w:r>
          </w:p>
        </w:tc>
      </w:tr>
      <w:tr>
        <w:trPr>
          <w:trHeight w:val="196"/>
        </w:trPr>
        <w:tc>
          <w:tcPr>
            <w:tcW w:w="7400" w:type="dxa"/>
            <w:vAlign w:val="bottom"/>
            <w:tcBorders>
              <w:bottom w:val="single" w:sz="8" w:color="431C5B"/>
            </w:tcBorders>
          </w:tcPr>
          <w:p>
            <w:pPr>
              <w:ind w:left="80"/>
              <w:spacing w:after="0"/>
              <w:rPr>
                <w:sz w:val="20"/>
                <w:szCs w:val="20"/>
                <w:color w:val="auto"/>
              </w:rPr>
            </w:pPr>
            <w:r>
              <w:rPr>
                <w:rFonts w:ascii="Arial" w:cs="Arial" w:eastAsia="Arial" w:hAnsi="Arial"/>
                <w:sz w:val="14"/>
                <w:szCs w:val="14"/>
                <w:b w:val="1"/>
                <w:bCs w:val="1"/>
                <w:color w:val="431C5B"/>
              </w:rPr>
              <w:t>($ in Millions)</w:t>
            </w:r>
          </w:p>
        </w:tc>
        <w:tc>
          <w:tcPr>
            <w:tcW w:w="1360" w:type="dxa"/>
            <w:vAlign w:val="bottom"/>
            <w:tcBorders>
              <w:bottom w:val="single" w:sz="8" w:color="431C5B"/>
            </w:tcBorders>
          </w:tcPr>
          <w:p>
            <w:pPr>
              <w:jc w:val="center"/>
              <w:spacing w:after="0"/>
              <w:rPr>
                <w:sz w:val="20"/>
                <w:szCs w:val="20"/>
                <w:color w:val="auto"/>
              </w:rPr>
            </w:pPr>
            <w:r>
              <w:rPr>
                <w:rFonts w:ascii="Arial" w:cs="Arial" w:eastAsia="Arial" w:hAnsi="Arial"/>
                <w:sz w:val="14"/>
                <w:szCs w:val="14"/>
                <w:b w:val="1"/>
                <w:bCs w:val="1"/>
                <w:color w:val="431C5B"/>
              </w:rPr>
              <w:t>2025</w:t>
            </w:r>
          </w:p>
        </w:tc>
      </w:tr>
      <w:tr>
        <w:trPr>
          <w:trHeight w:val="209"/>
        </w:trPr>
        <w:tc>
          <w:tcPr>
            <w:tcW w:w="7400" w:type="dxa"/>
            <w:vAlign w:val="bottom"/>
            <w:tcBorders>
              <w:bottom w:val="single" w:sz="8" w:color="E6E6E6"/>
            </w:tcBorders>
            <w:shd w:val="clear" w:color="auto" w:fill="EEFAEC"/>
          </w:tcPr>
          <w:p>
            <w:pPr>
              <w:ind w:left="80"/>
              <w:spacing w:after="0"/>
              <w:rPr>
                <w:sz w:val="20"/>
                <w:szCs w:val="20"/>
                <w:color w:val="auto"/>
              </w:rPr>
            </w:pPr>
            <w:r>
              <w:rPr>
                <w:rFonts w:ascii="Arial" w:cs="Arial" w:eastAsia="Arial" w:hAnsi="Arial"/>
                <w:sz w:val="16"/>
                <w:szCs w:val="16"/>
                <w:color w:val="auto"/>
              </w:rPr>
              <w:t>Net cash provided by operating activities</w:t>
            </w:r>
          </w:p>
        </w:tc>
        <w:tc>
          <w:tcPr>
            <w:tcW w:w="136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$2,608</w:t>
            </w:r>
          </w:p>
        </w:tc>
      </w:tr>
      <w:tr>
        <w:trPr>
          <w:trHeight w:val="209"/>
        </w:trPr>
        <w:tc>
          <w:tcPr>
            <w:tcW w:w="740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Capital expenditures</w:t>
            </w:r>
          </w:p>
        </w:tc>
        <w:tc>
          <w:tcPr>
            <w:tcW w:w="136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(989)</w:t>
            </w:r>
          </w:p>
        </w:tc>
      </w:tr>
      <w:tr>
        <w:trPr>
          <w:trHeight w:val="210"/>
        </w:trPr>
        <w:tc>
          <w:tcPr>
            <w:tcW w:w="7400" w:type="dxa"/>
            <w:vAlign w:val="bottom"/>
            <w:tcBorders>
              <w:bottom w:val="single" w:sz="8" w:color="E6E6E6"/>
            </w:tcBorders>
            <w:shd w:val="clear" w:color="auto" w:fill="EEFAEC"/>
          </w:tcPr>
          <w:p>
            <w:pPr>
              <w:ind w:left="180"/>
              <w:spacing w:after="0"/>
              <w:rPr>
                <w:sz w:val="20"/>
                <w:szCs w:val="20"/>
                <w:color w:val="auto"/>
              </w:rPr>
            </w:pPr>
            <w:r>
              <w:rPr>
                <w:rFonts w:ascii="Arial" w:cs="Arial" w:eastAsia="Arial" w:hAnsi="Arial"/>
                <w:sz w:val="16"/>
                <w:szCs w:val="16"/>
                <w:color w:val="auto"/>
              </w:rPr>
              <w:t>Free cash flow</w:t>
            </w:r>
          </w:p>
        </w:tc>
        <w:tc>
          <w:tcPr>
            <w:tcW w:w="136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1,619</w:t>
            </w:r>
          </w:p>
        </w:tc>
      </w:tr>
      <w:tr>
        <w:trPr>
          <w:trHeight w:val="209"/>
        </w:trPr>
        <w:tc>
          <w:tcPr>
            <w:tcW w:w="7400" w:type="dxa"/>
            <w:vAlign w:val="bottom"/>
            <w:tcBorders>
              <w:bottom w:val="single" w:sz="8" w:color="E6E6E6"/>
            </w:tcBorders>
          </w:tcPr>
          <w:p>
            <w:pPr>
              <w:ind w:left="80"/>
              <w:spacing w:after="0"/>
              <w:rPr>
                <w:sz w:val="20"/>
                <w:szCs w:val="20"/>
                <w:color w:val="auto"/>
              </w:rPr>
            </w:pPr>
            <w:r>
              <w:rPr>
                <w:rFonts w:ascii="Arial" w:cs="Arial" w:eastAsia="Arial" w:hAnsi="Arial"/>
                <w:sz w:val="16"/>
                <w:szCs w:val="16"/>
                <w:color w:val="auto"/>
              </w:rPr>
              <w:t>Non-GAAP adjustments:</w:t>
            </w:r>
          </w:p>
        </w:tc>
        <w:tc>
          <w:tcPr>
            <w:tcW w:w="1360" w:type="dxa"/>
            <w:vAlign w:val="bottom"/>
            <w:tcBorders>
              <w:bottom w:val="single" w:sz="8" w:color="E6E6E6"/>
            </w:tcBorders>
          </w:tcPr>
          <w:p>
            <w:pPr>
              <w:spacing w:after="0"/>
              <w:rPr>
                <w:sz w:val="18"/>
                <w:szCs w:val="18"/>
                <w:color w:val="auto"/>
              </w:rPr>
            </w:pPr>
          </w:p>
        </w:tc>
      </w:tr>
      <w:tr>
        <w:trPr>
          <w:trHeight w:val="210"/>
        </w:trPr>
        <w:tc>
          <w:tcPr>
            <w:tcW w:w="7400" w:type="dxa"/>
            <w:vAlign w:val="bottom"/>
            <w:tcBorders>
              <w:bottom w:val="single" w:sz="8" w:color="E6E6E6"/>
            </w:tcBorders>
            <w:shd w:val="clear" w:color="auto" w:fill="EEFAEC"/>
          </w:tcPr>
          <w:p>
            <w:pPr>
              <w:ind w:left="180"/>
              <w:spacing w:after="0" w:line="210" w:lineRule="exact"/>
              <w:rPr>
                <w:sz w:val="20"/>
                <w:szCs w:val="20"/>
                <w:color w:val="auto"/>
              </w:rPr>
            </w:pPr>
            <w:r>
              <w:rPr>
                <w:rFonts w:ascii="Arial" w:cs="Arial" w:eastAsia="Arial" w:hAnsi="Arial"/>
                <w:sz w:val="16"/>
                <w:szCs w:val="16"/>
                <w:color w:val="auto"/>
              </w:rPr>
              <w:t xml:space="preserve">Acquisition, integration and other payments </w:t>
            </w:r>
            <w:r>
              <w:rPr>
                <w:rFonts w:ascii="Arial" w:cs="Arial" w:eastAsia="Arial" w:hAnsi="Arial"/>
                <w:sz w:val="21"/>
                <w:szCs w:val="21"/>
                <w:color w:val="auto"/>
                <w:vertAlign w:val="superscript"/>
              </w:rPr>
              <w:t>(1)</w:t>
            </w:r>
          </w:p>
        </w:tc>
        <w:tc>
          <w:tcPr>
            <w:tcW w:w="1360" w:type="dxa"/>
            <w:vAlign w:val="bottom"/>
            <w:tcBorders>
              <w:bottom w:val="single" w:sz="8" w:color="E6E6E6"/>
            </w:tcBorders>
            <w:shd w:val="clear" w:color="auto" w:fill="EEFAEC"/>
          </w:tcPr>
          <w:p>
            <w:pPr>
              <w:jc w:val="right"/>
              <w:spacing w:after="0"/>
              <w:rPr>
                <w:sz w:val="20"/>
                <w:szCs w:val="20"/>
                <w:color w:val="auto"/>
              </w:rPr>
            </w:pPr>
            <w:r>
              <w:rPr>
                <w:rFonts w:ascii="Arial" w:cs="Arial" w:eastAsia="Arial" w:hAnsi="Arial"/>
                <w:sz w:val="16"/>
                <w:szCs w:val="16"/>
                <w:color w:val="auto"/>
              </w:rPr>
              <w:t>562</w:t>
            </w:r>
          </w:p>
        </w:tc>
      </w:tr>
      <w:tr>
        <w:trPr>
          <w:trHeight w:val="209"/>
        </w:trPr>
        <w:tc>
          <w:tcPr>
            <w:tcW w:w="7400" w:type="dxa"/>
            <w:vAlign w:val="bottom"/>
            <w:tcBorders>
              <w:bottom w:val="single" w:sz="8" w:color="E6E6E6"/>
            </w:tcBorders>
          </w:tcPr>
          <w:p>
            <w:pPr>
              <w:ind w:left="180"/>
              <w:spacing w:after="0"/>
              <w:rPr>
                <w:sz w:val="20"/>
                <w:szCs w:val="20"/>
                <w:color w:val="auto"/>
              </w:rPr>
            </w:pPr>
            <w:r>
              <w:rPr>
                <w:rFonts w:ascii="Arial" w:cs="Arial" w:eastAsia="Arial" w:hAnsi="Arial"/>
                <w:sz w:val="16"/>
                <w:szCs w:val="16"/>
                <w:color w:val="auto"/>
              </w:rPr>
              <w:t>Settlement activity</w:t>
            </w:r>
          </w:p>
        </w:tc>
        <w:tc>
          <w:tcPr>
            <w:tcW w:w="1360" w:type="dxa"/>
            <w:vAlign w:val="bottom"/>
            <w:tcBorders>
              <w:bottom w:val="single" w:sz="8" w:color="431C5B"/>
            </w:tcBorders>
          </w:tcPr>
          <w:p>
            <w:pPr>
              <w:jc w:val="right"/>
              <w:spacing w:after="0"/>
              <w:rPr>
                <w:sz w:val="20"/>
                <w:szCs w:val="20"/>
                <w:color w:val="auto"/>
              </w:rPr>
            </w:pPr>
            <w:r>
              <w:rPr>
                <w:rFonts w:ascii="Arial" w:cs="Arial" w:eastAsia="Arial" w:hAnsi="Arial"/>
                <w:sz w:val="16"/>
                <w:szCs w:val="16"/>
                <w:color w:val="auto"/>
              </w:rPr>
              <w:t>(14)</w:t>
            </w:r>
          </w:p>
        </w:tc>
      </w:tr>
      <w:tr>
        <w:trPr>
          <w:trHeight w:val="248"/>
        </w:trPr>
        <w:tc>
          <w:tcPr>
            <w:tcW w:w="7400" w:type="dxa"/>
            <w:vAlign w:val="bottom"/>
            <w:tcBorders>
              <w:bottom w:val="single" w:sz="8" w:color="EEFAEC"/>
            </w:tcBorders>
            <w:shd w:val="clear" w:color="auto" w:fill="EEFAEC"/>
          </w:tcPr>
          <w:p>
            <w:pPr>
              <w:ind w:left="80"/>
              <w:spacing w:after="0" w:line="183" w:lineRule="exact"/>
              <w:rPr>
                <w:sz w:val="20"/>
                <w:szCs w:val="20"/>
                <w:color w:val="auto"/>
              </w:rPr>
            </w:pPr>
            <w:r>
              <w:rPr>
                <w:rFonts w:ascii="Arial" w:cs="Arial" w:eastAsia="Arial" w:hAnsi="Arial"/>
                <w:sz w:val="16"/>
                <w:szCs w:val="16"/>
                <w:color w:val="auto"/>
              </w:rPr>
              <w:t>Adjusted free cash flow</w:t>
            </w:r>
          </w:p>
        </w:tc>
        <w:tc>
          <w:tcPr>
            <w:tcW w:w="1360" w:type="dxa"/>
            <w:vAlign w:val="bottom"/>
            <w:tcBorders>
              <w:bottom w:val="single" w:sz="8" w:color="431C5B"/>
            </w:tcBorders>
            <w:shd w:val="clear" w:color="auto" w:fill="EEFAEC"/>
          </w:tcPr>
          <w:p>
            <w:pPr>
              <w:jc w:val="right"/>
              <w:spacing w:after="0" w:line="183" w:lineRule="exact"/>
              <w:rPr>
                <w:sz w:val="20"/>
                <w:szCs w:val="20"/>
                <w:color w:val="auto"/>
              </w:rPr>
            </w:pPr>
            <w:r>
              <w:rPr>
                <w:rFonts w:ascii="Arial" w:cs="Arial" w:eastAsia="Arial" w:hAnsi="Arial"/>
                <w:sz w:val="16"/>
                <w:szCs w:val="16"/>
                <w:color w:val="auto"/>
              </w:rPr>
              <w:t>$2,167</w:t>
            </w:r>
          </w:p>
        </w:tc>
      </w:tr>
      <w:tr>
        <w:trPr>
          <w:trHeight w:val="20"/>
        </w:trPr>
        <w:tc>
          <w:tcPr>
            <w:tcW w:w="7400" w:type="dxa"/>
            <w:vAlign w:val="bottom"/>
            <w:tcBorders>
              <w:top w:val="single" w:sz="8" w:color="EEFAEC"/>
            </w:tcBorders>
            <w:shd w:val="clear" w:color="auto" w:fill="431C5B"/>
          </w:tcPr>
          <w:p>
            <w:pPr>
              <w:spacing w:after="0" w:line="20" w:lineRule="exact"/>
              <w:rPr>
                <w:sz w:val="1"/>
                <w:szCs w:val="1"/>
                <w:color w:val="auto"/>
              </w:rPr>
            </w:pPr>
          </w:p>
        </w:tc>
        <w:tc>
          <w:tcPr>
            <w:tcW w:w="1360" w:type="dxa"/>
            <w:vAlign w:val="bottom"/>
            <w:tcBorders>
              <w:top w:val="single" w:sz="8" w:color="EEFAEC"/>
            </w:tcBorders>
            <w:shd w:val="clear" w:color="auto" w:fill="431C5B"/>
          </w:tcPr>
          <w:p>
            <w:pPr>
              <w:spacing w:after="0" w:line="20" w:lineRule="exact"/>
              <w:rPr>
                <w:sz w:val="1"/>
                <w:szCs w:val="1"/>
                <w:color w:val="auto"/>
              </w:rPr>
            </w:pPr>
          </w:p>
        </w:tc>
      </w:tr>
    </w:tbl>
    <w:p>
      <w:pPr>
        <w:spacing w:after="0" w:line="212" w:lineRule="exact"/>
        <w:rPr>
          <w:sz w:val="20"/>
          <w:szCs w:val="20"/>
          <w:color w:val="auto"/>
        </w:rPr>
      </w:pPr>
    </w:p>
    <w:p>
      <w:pPr>
        <w:ind w:left="380" w:right="139" w:hanging="250"/>
        <w:spacing w:after="0" w:line="236" w:lineRule="auto"/>
        <w:tabs>
          <w:tab w:leader="none" w:pos="380" w:val="left"/>
        </w:tabs>
        <w:numPr>
          <w:ilvl w:val="0"/>
          <w:numId w:val="151"/>
        </w:numPr>
        <w:rPr>
          <w:rFonts w:ascii="Arial" w:cs="Arial" w:eastAsia="Arial" w:hAnsi="Arial"/>
          <w:sz w:val="16"/>
          <w:szCs w:val="16"/>
          <w:b w:val="1"/>
          <w:bCs w:val="1"/>
          <w:color w:val="auto"/>
          <w:vertAlign w:val="superscript"/>
        </w:rPr>
      </w:pPr>
      <w:r>
        <w:rPr>
          <w:rFonts w:ascii="Arial" w:cs="Arial" w:eastAsia="Arial" w:hAnsi="Arial"/>
          <w:sz w:val="13"/>
          <w:szCs w:val="13"/>
          <w:color w:val="auto"/>
        </w:rPr>
        <w:t>Adjusted free cash flow for the year ended December 31, 2025 excludes cash payments for certain acquisition, integration and other costs (see note 2 in schedule 3 above), net of related tax impact. The related tax impact totaled $69 million for year ended December 31, 2025.</w:t>
      </w:r>
    </w:p>
    <w:p>
      <w:pPr>
        <w:spacing w:after="0" w:line="162" w:lineRule="exact"/>
        <w:rPr>
          <w:sz w:val="20"/>
          <w:szCs w:val="20"/>
          <w:color w:val="auto"/>
        </w:rPr>
      </w:pPr>
    </w:p>
    <w:p>
      <w:pPr>
        <w:ind w:left="140" w:right="359"/>
        <w:spacing w:after="0" w:line="304" w:lineRule="auto"/>
        <w:rPr>
          <w:sz w:val="20"/>
          <w:szCs w:val="20"/>
          <w:color w:val="auto"/>
        </w:rPr>
      </w:pPr>
      <w:r>
        <w:rPr>
          <w:rFonts w:ascii="Arial" w:cs="Arial" w:eastAsia="Arial" w:hAnsi="Arial"/>
          <w:sz w:val="16"/>
          <w:szCs w:val="16"/>
          <w:color w:val="auto"/>
        </w:rPr>
        <w:t>Adjusted free cash flow conversion is calculated as Adjusted free cash flow divided by Adjusted net earnings, excluding the contribution from our equity method investment earnings (loss) from Worldpay.</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960"/>
        <w:spacing w:after="0"/>
        <w:tabs>
          <w:tab w:leader="none" w:pos="858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431C5B"/>
        </w:rPr>
        <w:t>105</w:t>
      </w:r>
    </w:p>
    <w:p>
      <w:pPr>
        <w:sectPr>
          <w:pgSz w:w="11900" w:h="16838" w:orient="portrait"/>
          <w:cols w:equalWidth="0" w:num="1">
            <w:col w:w="9019"/>
          </w:cols>
          <w:pgMar w:left="1440" w:top="657" w:right="1440" w:bottom="1440" w:gutter="0" w:footer="0" w:header="0"/>
          <w:type w:val="continuous"/>
        </w:sectPr>
      </w:pPr>
    </w:p>
    <w:bookmarkStart w:id="108" w:name="page109"/>
    <w:bookmarkEnd w:id="108"/>
    <w:p>
      <w:pPr>
        <w:spacing w:after="0"/>
        <w:tabs>
          <w:tab w:leader="none" w:pos="85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tabs>
          <w:tab w:leader="none" w:pos="85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tabs>
          <w:tab w:leader="none" w:pos="85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tabs>
          <w:tab w:leader="none" w:pos="85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1"/>
      <w:numFmt w:val="bullet"/>
      <w:start w:val="1"/>
    </w:lvl>
  </w:abstractNum>
  <w:abstractNum w:abstractNumId="6">
    <w:nsid w:val="1A32234B"/>
    <w:multiLevelType w:val="hybridMultilevel"/>
    <w:lvl w:ilvl="0">
      <w:lvlJc w:val="left"/>
      <w:lvlText w:val="2"/>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2"/>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4"/>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6"/>
      <w:numFmt w:val="bullet"/>
      <w:start w:val="1"/>
    </w:lvl>
  </w:abstractNum>
  <w:abstractNum w:abstractNumId="15">
    <w:nsid w:val="71EA1109"/>
    <w:multiLevelType w:val="hybridMultilevel"/>
    <w:lvl w:ilvl="0">
      <w:lvlJc w:val="left"/>
      <w:lvlText w:val="8"/>
      <w:numFmt w:val="bullet"/>
      <w:start w:val="1"/>
    </w:lvl>
  </w:abstractNum>
  <w:abstractNum w:abstractNumId="16">
    <w:nsid w:val="100F59DC"/>
    <w:multiLevelType w:val="hybridMultilevel"/>
    <w:lvl w:ilvl="0">
      <w:lvlJc w:val="left"/>
      <w:lvlText w:val="%1"/>
      <w:numFmt w:val="decimal"/>
      <w:start w:val="10"/>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1"/>
      <w:numFmt w:val="decimal"/>
      <w:start w:val="12"/>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1"/>
      <w:numFmt w:val="decimal"/>
      <w:start w:val="14"/>
    </w:lvl>
  </w:abstractNum>
  <w:abstractNum w:abstractNumId="22">
    <w:nsid w:val="76272110"/>
    <w:multiLevelType w:val="hybridMultilevel"/>
    <w:lvl w:ilvl="0">
      <w:lvlJc w:val="left"/>
      <w:lvlText w:val="(%1)"/>
      <w:numFmt w:val="decimal"/>
      <w:start w:val="1"/>
    </w:lvl>
  </w:abstractNum>
  <w:abstractNum w:abstractNumId="23">
    <w:nsid w:val="4C04A8AF"/>
    <w:multiLevelType w:val="hybridMultilevel"/>
    <w:lvl w:ilvl="0">
      <w:lvlJc w:val="left"/>
      <w:lvlText w:val="%1"/>
      <w:numFmt w:val="decimal"/>
      <w:start w:val="16"/>
    </w:lvl>
  </w:abstractNum>
  <w:abstractNum w:abstractNumId="24">
    <w:nsid w:val="1716703B"/>
    <w:multiLevelType w:val="hybridMultilevel"/>
    <w:lvl w:ilvl="0">
      <w:lvlJc w:val="left"/>
      <w:lvlText w:val="%1"/>
      <w:numFmt w:val="decimal"/>
      <w:start w:val="18"/>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1"/>
      <w:numFmt w:val="decimal"/>
      <w:start w:val="20"/>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1"/>
      <w:numFmt w:val="decimal"/>
      <w:start w:val="22"/>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1"/>
      <w:numFmt w:val="decimal"/>
      <w:start w:val="24"/>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1"/>
      <w:numFmt w:val="decimal"/>
      <w:start w:val="26"/>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1"/>
      <w:numFmt w:val="decimal"/>
      <w:start w:val="28"/>
    </w:lvl>
  </w:abstractNum>
  <w:abstractNum w:abstractNumId="43">
    <w:nsid w:val="488AC1A"/>
    <w:multiLevelType w:val="hybridMultilevel"/>
    <w:lvl w:ilvl="0">
      <w:lvlJc w:val="left"/>
      <w:lvlText w:val="%1"/>
      <w:numFmt w:val="decimal"/>
      <w:start w:val="30"/>
    </w:lvl>
  </w:abstractNum>
  <w:abstractNum w:abstractNumId="44">
    <w:nsid w:val="5FB8011C"/>
    <w:multiLevelType w:val="hybridMultilevel"/>
    <w:lvl w:ilvl="0">
      <w:lvlJc w:val="left"/>
      <w:lvlText w:val="(%1)"/>
      <w:numFmt w:val="lowerRoman"/>
      <w:start w:val="4"/>
    </w:lvl>
  </w:abstractNum>
  <w:abstractNum w:abstractNumId="45">
    <w:nsid w:val="6AA78F7F"/>
    <w:multiLevelType w:val="hybridMultilevel"/>
    <w:lvl w:ilvl="0">
      <w:lvlJc w:val="left"/>
      <w:lvlText w:val="%1"/>
      <w:numFmt w:val="decimal"/>
      <w:start w:val="32"/>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1"/>
      <w:numFmt w:val="decimal"/>
      <w:start w:val="34"/>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1"/>
      <w:numFmt w:val="decimal"/>
      <w:start w:val="36"/>
    </w:lvl>
  </w:abstractNum>
  <w:abstractNum w:abstractNumId="52">
    <w:nsid w:val="7DE67713"/>
    <w:multiLevelType w:val="hybridMultilevel"/>
    <w:lvl w:ilvl="0">
      <w:lvlJc w:val="left"/>
      <w:lvlText w:val="(%1)"/>
      <w:numFmt w:val="decimal"/>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1"/>
      <w:numFmt w:val="decimal"/>
      <w:start w:val="38"/>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1"/>
      <w:numFmt w:val="decimal"/>
      <w:start w:val="40"/>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1"/>
      <w:numFmt w:val="decimal"/>
      <w:start w:val="42"/>
    </w:lvl>
  </w:abstractNum>
  <w:abstractNum w:abstractNumId="60">
    <w:nsid w:val="1FBFE8E0"/>
    <w:multiLevelType w:val="hybridMultilevel"/>
    <w:lvl w:ilvl="0">
      <w:lvlJc w:val="left"/>
      <w:lvlText w:val="(%1)"/>
      <w:numFmt w:val="decimal"/>
      <w:start w:val="1"/>
    </w:lvl>
  </w:abstractNum>
  <w:abstractNum w:abstractNumId="61">
    <w:nsid w:val="5092CA79"/>
    <w:multiLevelType w:val="hybridMultilevel"/>
    <w:lvl w:ilvl="0">
      <w:lvlJc w:val="left"/>
      <w:lvlText w:val="%1"/>
      <w:numFmt w:val="decimal"/>
      <w:start w:val="44"/>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1"/>
      <w:numFmt w:val="decimal"/>
      <w:start w:val="46"/>
    </w:lvl>
  </w:abstractNum>
  <w:abstractNum w:abstractNumId="64">
    <w:nsid w:val="288F1A34"/>
    <w:multiLevelType w:val="hybridMultilevel"/>
    <w:lvl w:ilvl="0">
      <w:lvlJc w:val="left"/>
      <w:lvlText w:val="(%1)"/>
      <w:numFmt w:val="decimal"/>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1."/>
      <w:numFmt w:val="decimal"/>
      <w:start w:val="1"/>
    </w:lvl>
  </w:abstractNum>
  <w:abstractNum w:abstractNumId="67">
    <w:nsid w:val="97E1B4E"/>
    <w:multiLevelType w:val="hybridMultilevel"/>
    <w:lvl w:ilvl="0">
      <w:lvlJc w:val="left"/>
      <w:lvlText w:val="%1"/>
      <w:numFmt w:val="decimal"/>
      <w:start w:val="48"/>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
      <w:numFmt w:val="bullet"/>
      <w:start w:val="1"/>
    </w:lvl>
    <w:lvl w:ilvl="1">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1"/>
      <w:numFmt w:val="decimal"/>
      <w:start w:val="50"/>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1"/>
      <w:numFmt w:val="decimal"/>
      <w:start w:val="52"/>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1"/>
      <w:numFmt w:val="decimal"/>
      <w:start w:val="54"/>
    </w:lvl>
  </w:abstractNum>
  <w:abstractNum w:abstractNumId="80">
    <w:nsid w:val="39B7AAA2"/>
    <w:multiLevelType w:val="hybridMultilevel"/>
    <w:lvl w:ilvl="0">
      <w:lvlJc w:val="left"/>
      <w:lvlText w:val="(%1)"/>
      <w:numFmt w:val="decimal"/>
      <w:start w:val="1"/>
    </w:lvl>
  </w:abstractNum>
  <w:abstractNum w:abstractNumId="81">
    <w:nsid w:val="2B0D8DBE"/>
    <w:multiLevelType w:val="hybridMultilevel"/>
    <w:lvl w:ilvl="0">
      <w:lvlJc w:val="left"/>
      <w:lvlText w:val="%1"/>
      <w:numFmt w:val="decimal"/>
      <w:start w:val="56"/>
    </w:lvl>
  </w:abstractNum>
  <w:abstractNum w:abstractNumId="82">
    <w:nsid w:val="6C80EC70"/>
    <w:multiLevelType w:val="hybridMultilevel"/>
    <w:lvl w:ilvl="0">
      <w:lvlJc w:val="left"/>
      <w:lvlText w:val="(%1)"/>
      <w:numFmt w:val="decimal"/>
      <w:start w:val="1"/>
    </w:lvl>
  </w:abstractNum>
  <w:abstractNum w:abstractNumId="83">
    <w:nsid w:val="379E21B5"/>
    <w:multiLevelType w:val="hybridMultilevel"/>
    <w:lvl w:ilvl="0">
      <w:lvlJc w:val="left"/>
      <w:lvlText w:val="%1"/>
      <w:numFmt w:val="decimal"/>
      <w:start w:val="58"/>
    </w:lvl>
  </w:abstractNum>
  <w:abstractNum w:abstractNumId="84">
    <w:nsid w:val="69E373"/>
    <w:multiLevelType w:val="hybridMultilevel"/>
    <w:lvl w:ilvl="0">
      <w:lvlJc w:val="left"/>
      <w:lvlText w:val="(%1)"/>
      <w:numFmt w:val="decimal"/>
      <w:start w:val="1"/>
    </w:lvl>
  </w:abstractNum>
  <w:abstractNum w:abstractNumId="85">
    <w:nsid w:val="2C27173B"/>
    <w:multiLevelType w:val="hybridMultilevel"/>
    <w:lvl w:ilvl="0">
      <w:lvlJc w:val="left"/>
      <w:lvlText w:val="•"/>
      <w:numFmt w:val="bullet"/>
      <w:start w:val="1"/>
    </w:lvl>
  </w:abstractNum>
  <w:abstractNum w:abstractNumId="86">
    <w:nsid w:val="4C9B0904"/>
    <w:multiLevelType w:val="hybridMultilevel"/>
    <w:lvl w:ilvl="0">
      <w:lvlJc w:val="left"/>
      <w:lvlText w:val="%1"/>
      <w:numFmt w:val="decimal"/>
      <w:start w:val="60"/>
    </w:lvl>
  </w:abstractNum>
  <w:abstractNum w:abstractNumId="87">
    <w:nsid w:val="6AA7B75C"/>
    <w:multiLevelType w:val="hybridMultilevel"/>
    <w:lvl w:ilvl="0">
      <w:lvlJc w:val="left"/>
      <w:lvlText w:val="%1"/>
      <w:numFmt w:val="decimal"/>
      <w:start w:val="62"/>
    </w:lvl>
  </w:abstractNum>
  <w:abstractNum w:abstractNumId="88">
    <w:nsid w:val="1DF029D3"/>
    <w:multiLevelType w:val="hybridMultilevel"/>
    <w:lvl w:ilvl="0">
      <w:lvlJc w:val="left"/>
      <w:lvlText w:val="(%1)"/>
      <w:numFmt w:val="decimal"/>
      <w:start w:val="1"/>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1"/>
      <w:numFmt w:val="decimal"/>
      <w:start w:val="64"/>
    </w:lvl>
  </w:abstractNum>
  <w:abstractNum w:abstractNumId="91">
    <w:nsid w:val="3DB012B3"/>
    <w:multiLevelType w:val="hybridMultilevel"/>
    <w:lvl w:ilvl="0">
      <w:lvlJc w:val="left"/>
      <w:lvlText w:val="(%1)"/>
      <w:numFmt w:val="decimal"/>
      <w:start w:val="1"/>
    </w:lvl>
  </w:abstractNum>
  <w:abstractNum w:abstractNumId="92">
    <w:nsid w:val="2708C9AF"/>
    <w:multiLevelType w:val="hybridMultilevel"/>
    <w:lvl w:ilvl="0">
      <w:lvlJc w:val="left"/>
      <w:lvlText w:val="(%1)"/>
      <w:numFmt w:val="decimal"/>
      <w:start w:val="1"/>
    </w:lvl>
  </w:abstractNum>
  <w:abstractNum w:abstractNumId="93">
    <w:nsid w:val="5B25ACE2"/>
    <w:multiLevelType w:val="hybridMultilevel"/>
    <w:lvl w:ilvl="0">
      <w:lvlJc w:val="left"/>
      <w:lvlText w:val="%1"/>
      <w:numFmt w:val="decimal"/>
      <w:start w:val="66"/>
    </w:lvl>
  </w:abstractNum>
  <w:abstractNum w:abstractNumId="94">
    <w:nsid w:val="175DFCF0"/>
    <w:multiLevelType w:val="hybridMultilevel"/>
    <w:lvl w:ilvl="0">
      <w:lvlJc w:val="left"/>
      <w:lvlText w:val="%1"/>
      <w:numFmt w:val="decimal"/>
      <w:start w:val="68"/>
    </w:lvl>
  </w:abstractNum>
  <w:abstractNum w:abstractNumId="95">
    <w:nsid w:val="4F97E3E4"/>
    <w:multiLevelType w:val="hybridMultilevel"/>
    <w:lvl w:ilvl="0">
      <w:lvlJc w:val="left"/>
      <w:lvlText w:val="(%1)"/>
      <w:numFmt w:val="lowerRoman"/>
      <w:start w:val="4"/>
    </w:lvl>
  </w:abstractNum>
  <w:abstractNum w:abstractNumId="96">
    <w:nsid w:val="53B0A9E"/>
    <w:multiLevelType w:val="hybridMultilevel"/>
    <w:lvl w:ilvl="0">
      <w:lvlJc w:val="left"/>
      <w:lvlText w:val="%1"/>
      <w:numFmt w:val="decimal"/>
      <w:start w:val="70"/>
    </w:lvl>
  </w:abstractNum>
  <w:abstractNum w:abstractNumId="97">
    <w:nsid w:val="34FD6B4F"/>
    <w:multiLevelType w:val="hybridMultilevel"/>
    <w:lvl w:ilvl="0">
      <w:lvlJc w:val="left"/>
      <w:lvlText w:val="(%1)"/>
      <w:numFmt w:val="decimal"/>
      <w:start w:val="1"/>
    </w:lvl>
  </w:abstractNum>
  <w:abstractNum w:abstractNumId="98">
    <w:nsid w:val="5915FF32"/>
    <w:multiLevelType w:val="hybridMultilevel"/>
    <w:lvl w:ilvl="0">
      <w:lvlJc w:val="left"/>
      <w:lvlText w:val="%1"/>
      <w:numFmt w:val="decimal"/>
      <w:start w:val="72"/>
    </w:lvl>
  </w:abstractNum>
  <w:abstractNum w:abstractNumId="99">
    <w:nsid w:val="56438D15"/>
    <w:multiLevelType w:val="hybridMultilevel"/>
    <w:lvl w:ilvl="0">
      <w:lvlJc w:val="left"/>
      <w:lvlText w:val="(%1)"/>
      <w:numFmt w:val="decimal"/>
      <w:start w:val="1"/>
    </w:lvl>
  </w:abstractNum>
  <w:abstractNum w:abstractNumId="100">
    <w:nsid w:val="519E3149"/>
    <w:multiLevelType w:val="hybridMultilevel"/>
    <w:lvl w:ilvl="0">
      <w:lvlJc w:val="left"/>
      <w:lvlText w:val="%1"/>
      <w:numFmt w:val="decimal"/>
      <w:start w:val="74"/>
    </w:lvl>
  </w:abstractNum>
  <w:abstractNum w:abstractNumId="101">
    <w:nsid w:val="2C6E4AFD"/>
    <w:multiLevelType w:val="hybridMultilevel"/>
    <w:lvl w:ilvl="0">
      <w:lvlJc w:val="left"/>
      <w:lvlText w:val="(%1)"/>
      <w:numFmt w:val="decimal"/>
      <w:start w:val="1"/>
    </w:lvl>
  </w:abstractNum>
  <w:abstractNum w:abstractNumId="102">
    <w:nsid w:val="17A1B582"/>
    <w:multiLevelType w:val="hybridMultilevel"/>
    <w:lvl w:ilvl="0">
      <w:lvlJc w:val="left"/>
      <w:lvlText w:val="(%1)"/>
      <w:numFmt w:val="decimal"/>
      <w:start w:val="5"/>
    </w:lvl>
  </w:abstractNum>
  <w:abstractNum w:abstractNumId="103">
    <w:nsid w:val="4DF72E4E"/>
    <w:multiLevelType w:val="hybridMultilevel"/>
    <w:lvl w:ilvl="0">
      <w:lvlJc w:val="left"/>
      <w:lvlText w:val="%1"/>
      <w:numFmt w:val="decimal"/>
      <w:start w:val="76"/>
    </w:lvl>
  </w:abstractNum>
  <w:abstractNum w:abstractNumId="104">
    <w:nsid w:val="5046B5A9"/>
    <w:multiLevelType w:val="hybridMultilevel"/>
    <w:lvl w:ilvl="0">
      <w:lvlJc w:val="left"/>
      <w:lvlText w:val="•"/>
      <w:numFmt w:val="bullet"/>
      <w:start w:val="1"/>
    </w:lvl>
  </w:abstractNum>
  <w:abstractNum w:abstractNumId="105">
    <w:nsid w:val="5D888A08"/>
    <w:multiLevelType w:val="hybridMultilevel"/>
    <w:lvl w:ilvl="0">
      <w:lvlJc w:val="left"/>
      <w:lvlText w:val="•"/>
      <w:numFmt w:val="bullet"/>
      <w:start w:val="1"/>
    </w:lvl>
  </w:abstractNum>
  <w:abstractNum w:abstractNumId="106">
    <w:nsid w:val="2A082C70"/>
    <w:multiLevelType w:val="hybridMultilevel"/>
    <w:lvl w:ilvl="0">
      <w:lvlJc w:val="left"/>
      <w:lvlText w:val="•"/>
      <w:numFmt w:val="bullet"/>
      <w:start w:val="1"/>
    </w:lvl>
  </w:abstractNum>
  <w:abstractNum w:abstractNumId="107">
    <w:nsid w:val="5EC6AFD4"/>
    <w:multiLevelType w:val="hybridMultilevel"/>
    <w:lvl w:ilvl="0">
      <w:lvlJc w:val="left"/>
      <w:lvlText w:val="•"/>
      <w:numFmt w:val="bullet"/>
      <w:start w:val="1"/>
    </w:lvl>
  </w:abstractNum>
  <w:abstractNum w:abstractNumId="108">
    <w:nsid w:val="19E21BB2"/>
    <w:multiLevelType w:val="hybridMultilevel"/>
    <w:lvl w:ilvl="0">
      <w:lvlJc w:val="left"/>
      <w:lvlText w:val="•"/>
      <w:numFmt w:val="bullet"/>
      <w:start w:val="1"/>
    </w:lvl>
  </w:abstractNum>
  <w:abstractNum w:abstractNumId="109">
    <w:nsid w:val="75E0858A"/>
    <w:multiLevelType w:val="hybridMultilevel"/>
    <w:lvl w:ilvl="0">
      <w:lvlJc w:val="left"/>
      <w:lvlText w:val="•"/>
      <w:numFmt w:val="bullet"/>
      <w:start w:val="1"/>
    </w:lvl>
  </w:abstractNum>
  <w:abstractNum w:abstractNumId="110">
    <w:nsid w:val="57A61A29"/>
    <w:multiLevelType w:val="hybridMultilevel"/>
    <w:lvl w:ilvl="0">
      <w:lvlJc w:val="left"/>
      <w:lvlText w:val="%1"/>
      <w:numFmt w:val="decimal"/>
      <w:start w:val="78"/>
    </w:lvl>
  </w:abstractNum>
  <w:abstractNum w:abstractNumId="111">
    <w:nsid w:val="5399C654"/>
    <w:multiLevelType w:val="hybridMultilevel"/>
    <w:lvl w:ilvl="0">
      <w:lvlJc w:val="left"/>
      <w:lvlText w:val="•"/>
      <w:numFmt w:val="bullet"/>
      <w:start w:val="1"/>
    </w:lvl>
  </w:abstractNum>
  <w:abstractNum w:abstractNumId="112">
    <w:nsid w:val="20EE1348"/>
    <w:multiLevelType w:val="hybridMultilevel"/>
    <w:lvl w:ilvl="0">
      <w:lvlJc w:val="left"/>
      <w:lvlText w:val="•"/>
      <w:numFmt w:val="bullet"/>
      <w:start w:val="1"/>
    </w:lvl>
  </w:abstractNum>
  <w:abstractNum w:abstractNumId="113">
    <w:nsid w:val="4427069A"/>
    <w:multiLevelType w:val="hybridMultilevel"/>
    <w:lvl w:ilvl="0">
      <w:lvlJc w:val="left"/>
      <w:lvlText w:val="•"/>
      <w:numFmt w:val="bullet"/>
      <w:start w:val="1"/>
    </w:lvl>
  </w:abstractNum>
  <w:abstractNum w:abstractNumId="114">
    <w:nsid w:val="B37E80A"/>
    <w:multiLevelType w:val="hybridMultilevel"/>
    <w:lvl w:ilvl="0">
      <w:lvlJc w:val="left"/>
      <w:lvlText w:val="•"/>
      <w:numFmt w:val="bullet"/>
      <w:start w:val="1"/>
    </w:lvl>
  </w:abstractNum>
  <w:abstractNum w:abstractNumId="115">
    <w:nsid w:val="2157F6BC"/>
    <w:multiLevelType w:val="hybridMultilevel"/>
    <w:lvl w:ilvl="0">
      <w:lvlJc w:val="left"/>
      <w:lvlText w:val="%1"/>
      <w:numFmt w:val="decimal"/>
      <w:start w:val="80"/>
    </w:lvl>
  </w:abstractNum>
  <w:abstractNum w:abstractNumId="116">
    <w:nsid w:val="704E1DD5"/>
    <w:multiLevelType w:val="hybridMultilevel"/>
    <w:lvl w:ilvl="0">
      <w:lvlJc w:val="left"/>
      <w:lvlText w:val="(%1)"/>
      <w:numFmt w:val="decimal"/>
      <w:start w:val="1"/>
    </w:lvl>
  </w:abstractNum>
  <w:abstractNum w:abstractNumId="117">
    <w:nsid w:val="57D2F10E"/>
    <w:multiLevelType w:val="hybridMultilevel"/>
    <w:lvl w:ilvl="0">
      <w:lvlJc w:val="left"/>
      <w:lvlText w:val="%1"/>
      <w:numFmt w:val="decimal"/>
      <w:start w:val="82"/>
    </w:lvl>
  </w:abstractNum>
  <w:abstractNum w:abstractNumId="118">
    <w:nsid w:val="BFFAE18"/>
    <w:multiLevelType w:val="hybridMultilevel"/>
    <w:lvl w:ilvl="0">
      <w:lvlJc w:val="left"/>
      <w:lvlText w:val="%1"/>
      <w:numFmt w:val="decimal"/>
      <w:start w:val="1"/>
    </w:lvl>
    <w:lvl w:ilvl="1">
      <w:lvlJc w:val="left"/>
      <w:lvlText w:val="(%2)"/>
      <w:numFmt w:val="lowerLetter"/>
      <w:start w:val="1"/>
    </w:lvl>
  </w:abstractNum>
  <w:abstractNum w:abstractNumId="119">
    <w:nsid w:val="E3E47A8"/>
    <w:multiLevelType w:val="hybridMultilevel"/>
    <w:lvl w:ilvl="0">
      <w:lvlJc w:val="left"/>
      <w:lvlText w:val="(%1)"/>
      <w:numFmt w:val="decimal"/>
      <w:start w:val="5"/>
    </w:lvl>
    <w:lvl w:ilvl="1">
      <w:lvlJc w:val="left"/>
      <w:lvlText w:val="%2"/>
      <w:numFmt w:val="lowerLetter"/>
      <w:start w:val="1"/>
    </w:lvl>
  </w:abstractNum>
  <w:abstractNum w:abstractNumId="120">
    <w:nsid w:val="2E48F044"/>
    <w:multiLevelType w:val="hybridMultilevel"/>
    <w:lvl w:ilvl="0">
      <w:lvlJc w:val="left"/>
      <w:lvlText w:val="%1"/>
      <w:numFmt w:val="decimal"/>
      <w:start w:val="1"/>
    </w:lvl>
    <w:lvl w:ilvl="1">
      <w:lvlJc w:val="left"/>
      <w:lvlText w:val="(%2)"/>
      <w:numFmt w:val="lowerLetter"/>
      <w:start w:val="1"/>
    </w:lvl>
  </w:abstractNum>
  <w:abstractNum w:abstractNumId="121">
    <w:nsid w:val="49D0FEAC"/>
    <w:multiLevelType w:val="hybridMultilevel"/>
    <w:lvl w:ilvl="0">
      <w:lvlJc w:val="left"/>
      <w:lvlText w:val="(%1)"/>
      <w:numFmt w:val="decimal"/>
      <w:start w:val="11"/>
    </w:lvl>
    <w:lvl w:ilvl="1">
      <w:lvlJc w:val="left"/>
      <w:lvlText w:val="%2"/>
      <w:numFmt w:val="lowerLetter"/>
      <w:start w:val="1"/>
    </w:lvl>
  </w:abstractNum>
  <w:abstractNum w:abstractNumId="122">
    <w:nsid w:val="4BEE5A5B"/>
    <w:multiLevelType w:val="hybridMultilevel"/>
    <w:lvl w:ilvl="0">
      <w:lvlJc w:val="left"/>
      <w:lvlText w:val="%1"/>
      <w:numFmt w:val="decimal"/>
      <w:start w:val="84"/>
    </w:lvl>
  </w:abstractNum>
  <w:abstractNum w:abstractNumId="123">
    <w:nsid w:val="5551B9F3"/>
    <w:multiLevelType w:val="hybridMultilevel"/>
    <w:lvl w:ilvl="0">
      <w:lvlJc w:val="left"/>
      <w:lvlText w:val="•"/>
      <w:numFmt w:val="bullet"/>
      <w:start w:val="1"/>
    </w:lvl>
  </w:abstractNum>
  <w:abstractNum w:abstractNumId="124">
    <w:nsid w:val="24F6AB8E"/>
    <w:multiLevelType w:val="hybridMultilevel"/>
    <w:lvl w:ilvl="0">
      <w:lvlJc w:val="left"/>
      <w:lvlText w:val="%1"/>
      <w:numFmt w:val="decimal"/>
      <w:start w:val="86"/>
    </w:lvl>
  </w:abstractNum>
  <w:abstractNum w:abstractNumId="125">
    <w:nsid w:val="634C574C"/>
    <w:multiLevelType w:val="hybridMultilevel"/>
    <w:lvl w:ilvl="0">
      <w:lvlJc w:val="left"/>
      <w:lvlText w:val="%1"/>
      <w:numFmt w:val="decimal"/>
      <w:start w:val="88"/>
    </w:lvl>
  </w:abstractNum>
  <w:abstractNum w:abstractNumId="126">
    <w:nsid w:val="24E99DD7"/>
    <w:multiLevelType w:val="hybridMultilevel"/>
    <w:lvl w:ilvl="0">
      <w:lvlJc w:val="left"/>
      <w:lvlText w:val="(%1)"/>
      <w:numFmt w:val="decimal"/>
      <w:start w:val="1"/>
    </w:lvl>
  </w:abstractNum>
  <w:abstractNum w:abstractNumId="127">
    <w:nsid w:val="2A31B62D"/>
    <w:multiLevelType w:val="hybridMultilevel"/>
    <w:lvl w:ilvl="0">
      <w:lvlJc w:val="left"/>
      <w:lvlText w:val="%1"/>
      <w:numFmt w:val="decimal"/>
      <w:start w:val="90"/>
    </w:lvl>
  </w:abstractNum>
  <w:abstractNum w:abstractNumId="128">
    <w:nsid w:val="1849C29B"/>
    <w:multiLevelType w:val="hybridMultilevel"/>
    <w:lvl w:ilvl="0">
      <w:lvlJc w:val="left"/>
      <w:lvlText w:val="(%1)"/>
      <w:numFmt w:val="decimal"/>
      <w:start w:val="1"/>
    </w:lvl>
  </w:abstractNum>
  <w:abstractNum w:abstractNumId="129">
    <w:nsid w:val="7DFF9D09"/>
    <w:multiLevelType w:val="hybridMultilevel"/>
    <w:lvl w:ilvl="0">
      <w:lvlJc w:val="left"/>
      <w:lvlText w:val="%1"/>
      <w:numFmt w:val="decimal"/>
      <w:start w:val="92"/>
    </w:lvl>
  </w:abstractNum>
  <w:abstractNum w:abstractNumId="130">
    <w:nsid w:val="754342"/>
    <w:multiLevelType w:val="hybridMultilevel"/>
    <w:lvl w:ilvl="0">
      <w:lvlJc w:val="left"/>
      <w:lvlText w:val="•"/>
      <w:numFmt w:val="bullet"/>
      <w:start w:val="1"/>
    </w:lvl>
  </w:abstractNum>
  <w:abstractNum w:abstractNumId="131">
    <w:nsid w:val="69E7F3E5"/>
    <w:multiLevelType w:val="hybridMultilevel"/>
    <w:lvl w:ilvl="0">
      <w:lvlJc w:val="left"/>
      <w:lvlText w:val="*"/>
      <w:numFmt w:val="bullet"/>
      <w:start w:val="1"/>
    </w:lvl>
  </w:abstractNum>
  <w:abstractNum w:abstractNumId="132">
    <w:nsid w:val="2A6DE806"/>
    <w:multiLevelType w:val="hybridMultilevel"/>
    <w:lvl w:ilvl="0">
      <w:lvlJc w:val="left"/>
      <w:lvlText w:val="(%1)"/>
      <w:numFmt w:val="decimal"/>
      <w:start w:val="1"/>
    </w:lvl>
  </w:abstractNum>
  <w:abstractNum w:abstractNumId="133">
    <w:nsid w:val="1816F8C4"/>
    <w:multiLevelType w:val="hybridMultilevel"/>
    <w:lvl w:ilvl="0">
      <w:lvlJc w:val="left"/>
      <w:lvlText w:val="(%1)"/>
      <w:numFmt w:val="decimal"/>
      <w:start w:val="1"/>
    </w:lvl>
    <w:lvl w:ilvl="1">
      <w:lvlJc w:val="left"/>
      <w:lvlText w:val="•"/>
      <w:numFmt w:val="bullet"/>
      <w:start w:val="1"/>
    </w:lvl>
  </w:abstractNum>
  <w:abstractNum w:abstractNumId="134">
    <w:nsid w:val="37DF2233"/>
    <w:multiLevelType w:val="hybridMultilevel"/>
    <w:lvl w:ilvl="0">
      <w:lvlJc w:val="left"/>
      <w:lvlText w:val="%1"/>
      <w:numFmt w:val="decimal"/>
      <w:start w:val="94"/>
    </w:lvl>
  </w:abstractNum>
  <w:abstractNum w:abstractNumId="135">
    <w:nsid w:val="7AB49DAF"/>
    <w:multiLevelType w:val="hybridMultilevel"/>
    <w:lvl w:ilvl="0">
      <w:lvlJc w:val="left"/>
      <w:lvlText w:val="•"/>
      <w:numFmt w:val="bullet"/>
      <w:start w:val="1"/>
    </w:lvl>
  </w:abstractNum>
  <w:abstractNum w:abstractNumId="136">
    <w:nsid w:val="759F82CD"/>
    <w:multiLevelType w:val="hybridMultilevel"/>
    <w:lvl w:ilvl="0">
      <w:lvlJc w:val="left"/>
      <w:lvlText w:val="%1"/>
      <w:numFmt w:val="decimal"/>
      <w:start w:val="96"/>
    </w:lvl>
  </w:abstractNum>
  <w:abstractNum w:abstractNumId="137">
    <w:nsid w:val="61E74EA3"/>
    <w:multiLevelType w:val="hybridMultilevel"/>
    <w:lvl w:ilvl="0">
      <w:lvlJc w:val="left"/>
      <w:lvlText w:val="%1."/>
      <w:numFmt w:val="decimal"/>
      <w:start w:val="1"/>
    </w:lvl>
    <w:lvl w:ilvl="1">
      <w:lvlJc w:val="left"/>
      <w:lvlText w:val="%2."/>
      <w:numFmt w:val="lowerLetter"/>
      <w:start w:val="1"/>
    </w:lvl>
  </w:abstractNum>
  <w:abstractNum w:abstractNumId="138">
    <w:nsid w:val="597B4D84"/>
    <w:multiLevelType w:val="hybridMultilevel"/>
    <w:lvl w:ilvl="0">
      <w:lvlJc w:val="left"/>
      <w:lvlText w:val="(%1)"/>
      <w:numFmt w:val="lowerRoman"/>
      <w:start w:val="1"/>
    </w:lvl>
  </w:abstractNum>
  <w:abstractNum w:abstractNumId="139">
    <w:nsid w:val="F819E7F"/>
    <w:multiLevelType w:val="hybridMultilevel"/>
    <w:lvl w:ilvl="0">
      <w:lvlJc w:val="left"/>
      <w:lvlText w:val="%1"/>
      <w:numFmt w:val="decimal"/>
      <w:start w:val="98"/>
    </w:lvl>
  </w:abstractNum>
  <w:abstractNum w:abstractNumId="140">
    <w:nsid w:val="57C7D42D"/>
    <w:multiLevelType w:val="hybridMultilevel"/>
    <w:lvl w:ilvl="0">
      <w:lvlJc w:val="left"/>
      <w:lvlText w:val="•"/>
      <w:numFmt w:val="bullet"/>
      <w:start w:val="1"/>
    </w:lvl>
  </w:abstractNum>
  <w:abstractNum w:abstractNumId="141">
    <w:nsid w:val="312167AD"/>
    <w:multiLevelType w:val="hybridMultilevel"/>
    <w:lvl w:ilvl="0">
      <w:lvlJc w:val="left"/>
      <w:lvlText w:val="%1"/>
      <w:numFmt w:val="decimal"/>
      <w:start w:val="100"/>
    </w:lvl>
  </w:abstractNum>
  <w:abstractNum w:abstractNumId="142">
    <w:nsid w:val="631B64D4"/>
    <w:multiLevelType w:val="hybridMultilevel"/>
    <w:lvl w:ilvl="0">
      <w:lvlJc w:val="left"/>
      <w:lvlText w:val="•"/>
      <w:numFmt w:val="bullet"/>
      <w:start w:val="1"/>
    </w:lvl>
  </w:abstractNum>
  <w:abstractNum w:abstractNumId="143">
    <w:nsid w:val="78B5E776"/>
    <w:multiLevelType w:val="hybridMultilevel"/>
    <w:lvl w:ilvl="0">
      <w:lvlJc w:val="left"/>
      <w:lvlText w:val="(%1)"/>
      <w:numFmt w:val="decimal"/>
      <w:start w:val="1"/>
    </w:lvl>
  </w:abstractNum>
  <w:abstractNum w:abstractNumId="144">
    <w:nsid w:val="75486E47"/>
    <w:multiLevelType w:val="hybridMultilevel"/>
    <w:lvl w:ilvl="0">
      <w:lvlJc w:val="left"/>
      <w:lvlText w:val="%1"/>
      <w:numFmt w:val="decimal"/>
      <w:start w:val="102"/>
    </w:lvl>
  </w:abstractNum>
  <w:abstractNum w:abstractNumId="145">
    <w:nsid w:val="6E534CDE"/>
    <w:multiLevelType w:val="hybridMultilevel"/>
    <w:lvl w:ilvl="0">
      <w:lvlJc w:val="left"/>
      <w:lvlText w:val="(%1)"/>
      <w:numFmt w:val="decimal"/>
      <w:start w:val="1"/>
    </w:lvl>
  </w:abstractNum>
  <w:abstractNum w:abstractNumId="146">
    <w:nsid w:val="1A0DDE32"/>
    <w:multiLevelType w:val="hybridMultilevel"/>
    <w:lvl w:ilvl="0">
      <w:lvlJc w:val="left"/>
      <w:lvlText w:val="%1"/>
      <w:numFmt w:val="decimal"/>
      <w:start w:val="1"/>
    </w:lvl>
    <w:lvl w:ilvl="1">
      <w:lvlJc w:val="left"/>
      <w:lvlText w:val="(%2)"/>
      <w:numFmt w:val="lowerLetter"/>
      <w:start w:val="1"/>
    </w:lvl>
  </w:abstractNum>
  <w:abstractNum w:abstractNumId="147">
    <w:nsid w:val="65968C1C"/>
    <w:multiLevelType w:val="hybridMultilevel"/>
    <w:lvl w:ilvl="0">
      <w:lvlJc w:val="left"/>
      <w:lvlText w:val="(%1)"/>
      <w:numFmt w:val="decimal"/>
      <w:start w:val="3"/>
    </w:lvl>
    <w:lvl w:ilvl="1">
      <w:lvlJc w:val="left"/>
      <w:lvlText w:val="%2"/>
      <w:numFmt w:val="lowerLetter"/>
      <w:start w:val="1"/>
    </w:lvl>
  </w:abstractNum>
  <w:abstractNum w:abstractNumId="148">
    <w:nsid w:val="46263DEC"/>
    <w:multiLevelType w:val="hybridMultilevel"/>
    <w:lvl w:ilvl="0">
      <w:lvlJc w:val="left"/>
      <w:lvlText w:val="(%1)"/>
      <w:numFmt w:val="lowerLetter"/>
      <w:start w:val="1"/>
    </w:lvl>
  </w:abstractNum>
  <w:abstractNum w:abstractNumId="149">
    <w:nsid w:val="260D8C4A"/>
    <w:multiLevelType w:val="hybridMultilevel"/>
    <w:lvl w:ilvl="0">
      <w:lvlJc w:val="left"/>
      <w:lvlText w:val="%1"/>
      <w:numFmt w:val="decimal"/>
      <w:start w:val="104"/>
    </w:lvl>
  </w:abstractNum>
  <w:abstractNum w:abstractNumId="150">
    <w:nsid w:val="73D4D3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2026-04-28T16:09:47Z</dcterms:created>
  <dcterms:modified xsi:type="dcterms:W3CDTF">2026-04-28T16:09:47Z</dcterms:modified>
</cp:coreProperties>
</file>